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65AAF55" w14:textId="2098BEFE" w:rsidR="00C36561" w:rsidRDefault="00957EDE">
      <w:r>
        <w:t>Любой диэлектрический материал, через который проходит электромагнитная волна, обладает комплексной диэлектрической проницаемостью:</w:t>
      </w:r>
    </w:p>
    <w:p w14:paraId="1EE3DD88" w14:textId="0223E4ED" w:rsidR="00957EDE" w:rsidRDefault="00957EDE">
      <w:r>
        <w:rPr>
          <w:rStyle w:val="mord"/>
        </w:rPr>
        <w:t>ε</w:t>
      </w:r>
      <w:r>
        <w:rPr>
          <w:rStyle w:val="mrel"/>
        </w:rPr>
        <w:t>=</w:t>
      </w:r>
      <w:r>
        <w:rPr>
          <w:rStyle w:val="mord"/>
        </w:rPr>
        <w:t>ε′</w:t>
      </w:r>
      <w:r>
        <w:rPr>
          <w:rStyle w:val="mbin"/>
        </w:rPr>
        <w:t>−</w:t>
      </w:r>
      <w:r>
        <w:rPr>
          <w:rStyle w:val="mord"/>
        </w:rPr>
        <w:t>jε′′</w:t>
      </w:r>
    </w:p>
    <w:p w14:paraId="7005358E" w14:textId="77777777" w:rsidR="00C36561" w:rsidRDefault="00957EDE">
      <w:r>
        <w:t>где:</w:t>
      </w:r>
    </w:p>
    <w:p w14:paraId="12E47516" w14:textId="5454FDDA" w:rsidR="00C36561" w:rsidRDefault="00957EDE">
      <w:pPr>
        <w:pStyle w:val="a4"/>
        <w:numPr>
          <w:ilvl w:val="0"/>
          <w:numId w:val="1"/>
        </w:numPr>
        <w:spacing w:before="60" w:after="60"/>
        <w:ind w:left="360" w:hanging="259"/>
      </w:pPr>
      <w:r>
        <w:rPr>
          <w:rStyle w:val="mord"/>
        </w:rPr>
        <w:t>ε′</w:t>
      </w:r>
      <w:r>
        <w:t xml:space="preserve"> — вещественная часть, определяющая способность материала хранить энергию электрического поля;</w:t>
      </w:r>
    </w:p>
    <w:p w14:paraId="616C8111" w14:textId="125A9788" w:rsidR="00C36561" w:rsidRDefault="00957EDE">
      <w:pPr>
        <w:pStyle w:val="a4"/>
        <w:numPr>
          <w:ilvl w:val="0"/>
          <w:numId w:val="1"/>
        </w:numPr>
        <w:spacing w:before="60" w:after="60"/>
        <w:ind w:left="360" w:hanging="259"/>
      </w:pPr>
      <w:r>
        <w:t xml:space="preserve"> </w:t>
      </w:r>
      <w:r>
        <w:rPr>
          <w:rStyle w:val="mord"/>
        </w:rPr>
        <w:t>ε′′</w:t>
      </w:r>
      <w:r>
        <w:rPr>
          <w:rStyle w:val="mord"/>
        </w:rPr>
        <w:t xml:space="preserve"> </w:t>
      </w:r>
      <w:r>
        <w:t>— мнимая часть, отвечаю</w:t>
      </w:r>
      <w:r>
        <w:t>щая за диссипацию (потери) энергии в тепло.</w:t>
      </w:r>
    </w:p>
    <w:p w14:paraId="1AA04C3C" w14:textId="3873F86D" w:rsidR="00C36561" w:rsidRDefault="00957EDE">
      <w:r>
        <w:t>Введение тангенса угла диэлектрических потерь:</w:t>
      </w:r>
    </w:p>
    <w:p w14:paraId="540E3408" w14:textId="2A41C86E" w:rsidR="00957EDE" w:rsidRPr="00957EDE" w:rsidRDefault="00957EDE">
      <w:r>
        <w:rPr>
          <w:rStyle w:val="mop"/>
        </w:rPr>
        <w:t>tan</w:t>
      </w:r>
      <w:r>
        <w:rPr>
          <w:rStyle w:val="mord"/>
        </w:rPr>
        <w:t>δ</w:t>
      </w:r>
      <w:r>
        <w:rPr>
          <w:rStyle w:val="mrel"/>
        </w:rPr>
        <w:t>=</w:t>
      </w:r>
      <w:r>
        <w:rPr>
          <w:rStyle w:val="mord"/>
        </w:rPr>
        <w:t xml:space="preserve"> </w:t>
      </w:r>
      <w:r>
        <w:rPr>
          <w:rStyle w:val="mord"/>
        </w:rPr>
        <w:t>ε′′</w:t>
      </w:r>
      <w:r w:rsidRPr="00957EDE">
        <w:rPr>
          <w:rStyle w:val="mord"/>
        </w:rPr>
        <w:t xml:space="preserve">/ </w:t>
      </w:r>
      <w:r>
        <w:rPr>
          <w:rStyle w:val="mord"/>
        </w:rPr>
        <w:t>ε′</w:t>
      </w:r>
    </w:p>
    <w:p w14:paraId="12995239" w14:textId="77777777" w:rsidR="00C36561" w:rsidRDefault="00957EDE">
      <w:r>
        <w:t>показывает отношение рассеиваемой мощности к запасенной. Для эффективных СВЧ-поглотителей значение  обычно должно быть в диапазоне от 0,01 до 0,1, что на порядки выш</w:t>
      </w:r>
      <w:r>
        <w:t>е, чем у обычных диэлектриков (например, у тейлона ).</w:t>
      </w:r>
    </w:p>
    <w:p w14:paraId="1EF3FF92" w14:textId="77777777" w:rsidR="00C36561" w:rsidRDefault="00957EDE">
      <w:r>
        <w:t>В частотной области энергия потерь в единице объема за единицу времени определяется выражением:</w:t>
      </w:r>
    </w:p>
    <w:p w14:paraId="11A0339F" w14:textId="77777777" w:rsidR="00C36561" w:rsidRDefault="00957EDE">
      <w:r>
        <w:t>где  — круговая частота,  — амплитуда электрического поля. Из этой формулы видно, что для повышения эффект</w:t>
      </w:r>
      <w:r>
        <w:t>ивности поглотителя можно либо увеличивать  (меняя состав материала), либо повышать частоту (что и делается при переходе от УВЧ к СВЧ).</w:t>
      </w:r>
    </w:p>
    <w:p w14:paraId="49E91B5A" w14:textId="77777777" w:rsidR="00C36561" w:rsidRDefault="00957EDE">
      <w:r>
        <w:rPr>
          <w:b/>
          <w:bCs/>
        </w:rPr>
        <w:lastRenderedPageBreak/>
        <w:t>Магнитные потери в ферритах</w:t>
      </w:r>
      <w:r>
        <w:t xml:space="preserve"> имеют аналогичную природу, но описываются комплексной магнитной проницаемостью . Магнитные п</w:t>
      </w:r>
      <w:r>
        <w:t>отери возникают из-за вращения спинов электронов в магнитном поле и последующего затухания вращения (магнитное вязкое демпфирование). Для СВЧ-применений используют йттрий-железные, никель-железные и манган-железные ферриты. Они могут поглощать до 10–30 % п</w:t>
      </w:r>
      <w:r>
        <w:t>адающей энергии на единицу длины, что делает их конкурентами для чисто диэлектрических решений.</w:t>
      </w:r>
    </w:p>
    <w:p w14:paraId="0ECB1534" w14:textId="77777777" w:rsidR="00C36561" w:rsidRDefault="00957EDE">
      <w:r>
        <w:t>Однако у ферритов есть существенное ограничение: для эффективного магнитного поглощения часто требуется внешнее магнитное поле для разделения уровней энергии сп</w:t>
      </w:r>
      <w:r>
        <w:t>инов и перестройки резонансной частоты под нужды конкретной полосы частот.</w:t>
      </w:r>
    </w:p>
    <w:p w14:paraId="1FF926A3" w14:textId="77777777" w:rsidR="00C36561" w:rsidRDefault="00957EDE">
      <w:pPr>
        <w:pStyle w:val="3"/>
        <w:spacing w:line="276" w:lineRule="auto"/>
      </w:pPr>
      <w:r>
        <w:t>1.2. Поверхностный эффект и потери в металлах</w:t>
      </w:r>
    </w:p>
    <w:p w14:paraId="344BFE47" w14:textId="77777777" w:rsidR="00C36561" w:rsidRDefault="00957EDE">
      <w:r>
        <w:t>В отличие от объёмных поглотителей, поверхностные поглотители используют явление скин-эффекта: в металле переменный ток проникает на ма</w:t>
      </w:r>
      <w:r>
        <w:t>лую глубину — так называемую глубину скин-слоя:</w:t>
      </w:r>
    </w:p>
    <w:p w14:paraId="6266B312" w14:textId="77777777" w:rsidR="00C36561" w:rsidRDefault="00957EDE">
      <w:r>
        <w:t>где  — электрическое сопротивление материала,  — магнитная проницаемость. Для меди при  получаем . Именно поэтому на высоких частотах даже тонкие пленки из тантала или нихрома (с сопротивлением 10–20 Ом/кв) э</w:t>
      </w:r>
      <w:r>
        <w:t>ффективно поглощают СВЧ-энергию, рассеивая её на поверхности.</w:t>
      </w:r>
    </w:p>
    <w:p w14:paraId="18F0AC1B" w14:textId="77777777" w:rsidR="00C36561" w:rsidRDefault="00957EDE">
      <w:r>
        <w:lastRenderedPageBreak/>
        <w:t xml:space="preserve">Это физическое явление лежит в основе </w:t>
      </w:r>
      <w:r>
        <w:rPr>
          <w:b/>
          <w:bCs/>
        </w:rPr>
        <w:t>пленочных резистивных элементов</w:t>
      </w:r>
      <w:r>
        <w:t>, которые применяются в коаксиальных и микрополосковых аттенюаторах. Пленка наносится на диэлектрическую подложку и запитывае</w:t>
      </w:r>
      <w:r>
        <w:t>тся поперечными электродами. Поскольку ток вынужденно течёт по тонкой пленке, плотность тока высока, а омические потери превращаются в тепло с КПД, близким к 100 %.</w:t>
      </w:r>
    </w:p>
    <w:p w14:paraId="6407573B" w14:textId="77777777" w:rsidR="00C36561" w:rsidRDefault="00957EDE">
      <w:pPr>
        <w:pStyle w:val="3"/>
        <w:spacing w:line="276" w:lineRule="auto"/>
      </w:pPr>
      <w:r>
        <w:t>1.3. Объемное поглощение</w:t>
      </w:r>
    </w:p>
    <w:p w14:paraId="08AA60F5" w14:textId="77777777" w:rsidR="00C36561" w:rsidRDefault="00957EDE">
      <w:r>
        <w:t>Объемные поглотители используют материалы с высокой диэлектрическо</w:t>
      </w:r>
      <w:r>
        <w:t>й или магнитной рассеивающей способностью: графит, карбонильное железо, специальные феррит-диэлектрические композиции. Их эффективность определяется не только материалом, но и геометрией — профилем поглотителя.</w:t>
      </w:r>
    </w:p>
    <w:p w14:paraId="0B564769" w14:textId="77777777" w:rsidR="00C36561" w:rsidRDefault="00957EDE">
      <w:r>
        <w:t>Для минимизации отражений на стыке «воздух–по</w:t>
      </w:r>
      <w:r>
        <w:t xml:space="preserve">глотитель» применяется принцип </w:t>
      </w:r>
      <w:r>
        <w:rPr>
          <w:b/>
          <w:bCs/>
        </w:rPr>
        <w:t>плавного изменения волнового сопротивления</w:t>
      </w:r>
      <w:r>
        <w:t xml:space="preserve"> от свободного пространства () до внутреннего волнового сопротивления поглотителя. В идеальном случае профиль клина меняется экспоненциально:</w:t>
      </w:r>
    </w:p>
    <w:p w14:paraId="07FE47A9" w14:textId="77777777" w:rsidR="00C36561" w:rsidRDefault="00957EDE">
      <w:r>
        <w:t xml:space="preserve">где  — постоянная, определяемая глубиной </w:t>
      </w:r>
      <w:r>
        <w:t>клина и желаемым КСВН. Такой профиль обеспечивает практически полное поглощение (КСВН &lt; 1,1) даже для широкополосных задач. Принцип согласования клина с волноводным трактом аналогичен работе акустических поглотителей в безэховых камерах, но в масштабе сант</w:t>
      </w:r>
      <w:r>
        <w:t>иметровых волн.</w:t>
      </w:r>
    </w:p>
    <w:p w14:paraId="410FE0EE" w14:textId="77777777" w:rsidR="00C36561" w:rsidRDefault="00957EDE">
      <w:pPr>
        <w:jc w:val="center"/>
      </w:pPr>
      <w:r>
        <w:rPr>
          <w:color w:val="CCCCCC"/>
        </w:rPr>
        <w:lastRenderedPageBreak/>
        <w:t>──────────────────────────────────────────────────</w:t>
      </w:r>
    </w:p>
    <w:p w14:paraId="1934EFB1" w14:textId="77777777" w:rsidR="00C36561" w:rsidRDefault="00957EDE">
      <w:pPr>
        <w:pStyle w:val="2"/>
        <w:spacing w:line="276" w:lineRule="auto"/>
      </w:pPr>
      <w:r>
        <w:t>Глава 2. Согласованные нагрузки</w:t>
      </w:r>
    </w:p>
    <w:p w14:paraId="1EDC1BFD" w14:textId="77777777" w:rsidR="00C36561" w:rsidRDefault="00957EDE">
      <w:pPr>
        <w:pStyle w:val="3"/>
        <w:spacing w:line="276" w:lineRule="auto"/>
      </w:pPr>
      <w:r>
        <w:t>2.1. Назначение и классификация</w:t>
      </w:r>
    </w:p>
    <w:p w14:paraId="7D2A85B5" w14:textId="77777777" w:rsidR="00C36561" w:rsidRDefault="00957EDE">
      <w:r>
        <w:rPr>
          <w:b/>
          <w:bCs/>
        </w:rPr>
        <w:t>Согласованные нагрузки</w:t>
      </w:r>
      <w:r>
        <w:t xml:space="preserve">, или </w:t>
      </w:r>
      <w:r>
        <w:rPr>
          <w:b/>
          <w:bCs/>
        </w:rPr>
        <w:t>терминаторы</w:t>
      </w:r>
      <w:r>
        <w:t>, — устройства, предназначенные для поглощения электромагнитной энергии без значительн</w:t>
      </w:r>
      <w:r>
        <w:t>ого отражения. Их назначение можно разделить на две основные категории:</w:t>
      </w:r>
    </w:p>
    <w:p w14:paraId="635877EC" w14:textId="77777777" w:rsidR="00C36561" w:rsidRDefault="00957EDE">
      <w:pPr>
        <w:pStyle w:val="a4"/>
        <w:numPr>
          <w:ilvl w:val="0"/>
          <w:numId w:val="2"/>
        </w:numPr>
        <w:spacing w:before="60" w:after="60"/>
      </w:pPr>
      <w:r>
        <w:rPr>
          <w:b/>
          <w:bCs/>
        </w:rPr>
        <w:t>Измерительные (эквивалентные) нагрузки.</w:t>
      </w:r>
      <w:r>
        <w:br/>
        <w:t>Применяются для имитации реальной антенны или другого СВЧ-устройства с известной импедансной характеристикой. Например, при измерении КСВН генер</w:t>
      </w:r>
      <w:r>
        <w:t>атора с использованием VNA (анализатора векторных сетов) в порт вставляется эквивалент антенны, обеспечивающий имитацию реального объекта (например, эквивалент антенны ). Такие нагрузки работают обычно на мощностях от единиц до нескольких десятков ватт.</w:t>
      </w:r>
    </w:p>
    <w:p w14:paraId="53FD8CA6" w14:textId="77777777" w:rsidR="00C36561" w:rsidRDefault="00957EDE">
      <w:pPr>
        <w:pStyle w:val="a4"/>
        <w:numPr>
          <w:ilvl w:val="0"/>
          <w:numId w:val="2"/>
        </w:numPr>
        <w:spacing w:before="60" w:after="60"/>
      </w:pPr>
      <w:r>
        <w:rPr>
          <w:b/>
          <w:bCs/>
        </w:rPr>
        <w:t>Мо</w:t>
      </w:r>
      <w:r>
        <w:rPr>
          <w:b/>
          <w:bCs/>
        </w:rPr>
        <w:t>щные балластные нагрузки.</w:t>
      </w:r>
      <w:r>
        <w:br/>
        <w:t>Применяются для поглощения мощных отраженных волн от циркуляторов в радарных системах. Такие нагрузки способны отводить десятки и сотни киловатт, часто используя системы жидкостного охлаждения. Ключевое слово здесь — «балластная»,</w:t>
      </w:r>
      <w:r>
        <w:t xml:space="preserve"> т.е. нагрузка </w:t>
      </w:r>
      <w:r>
        <w:lastRenderedPageBreak/>
        <w:t>выполняет функцию «стока» для энергии, которая в нормальном режиме не должна была появиться в тракте.</w:t>
      </w:r>
    </w:p>
    <w:p w14:paraId="41099612" w14:textId="77777777" w:rsidR="00C36561" w:rsidRDefault="00957EDE">
      <w:pPr>
        <w:pStyle w:val="a4"/>
        <w:numPr>
          <w:ilvl w:val="0"/>
          <w:numId w:val="2"/>
        </w:numPr>
        <w:spacing w:before="60" w:after="60"/>
      </w:pPr>
      <w:r>
        <w:rPr>
          <w:b/>
          <w:bCs/>
        </w:rPr>
        <w:t>Терминаторы для линий передачи.</w:t>
      </w:r>
      <w:r>
        <w:br/>
      </w:r>
      <w:r>
        <w:t>Используются для согласования коротких отрезков коаксиального кабеля, например, для предотвращения фазовых искажений в коротких измерительных трактах.</w:t>
      </w:r>
    </w:p>
    <w:p w14:paraId="27CEFB3F" w14:textId="77777777" w:rsidR="00C36561" w:rsidRDefault="00957EDE">
      <w:pPr>
        <w:pStyle w:val="3"/>
        <w:spacing w:line="276" w:lineRule="auto"/>
      </w:pPr>
      <w:r>
        <w:t>2.2. Конструктивные особенности волноводных нагрузок</w:t>
      </w:r>
    </w:p>
    <w:p w14:paraId="4A895709" w14:textId="77777777" w:rsidR="00C36561" w:rsidRDefault="00957EDE">
      <w:r>
        <w:rPr>
          <w:b/>
          <w:bCs/>
        </w:rPr>
        <w:t>Клиновые нагрузки</w:t>
      </w:r>
      <w:r>
        <w:t xml:space="preserve"> — классическое и наиболее эффектив</w:t>
      </w:r>
      <w:r>
        <w:t xml:space="preserve">ное решение для волноводных трактов. Их конструкция представляет собой клин, заполненный поглощающим материалом (чаще всего — графитом или ферритом), и может быть ориентирован в плоскости </w:t>
      </w:r>
      <w:r>
        <w:rPr>
          <w:b/>
          <w:bCs/>
        </w:rPr>
        <w:t>E</w:t>
      </w:r>
      <w:r>
        <w:t xml:space="preserve"> (электрическое поле перпендикулярно клину) или </w:t>
      </w:r>
      <w:r>
        <w:rPr>
          <w:b/>
          <w:bCs/>
        </w:rPr>
        <w:t>H</w:t>
      </w:r>
      <w:r>
        <w:t xml:space="preserve"> (магнитное поле п</w:t>
      </w:r>
      <w:r>
        <w:t>ерпендикулярно клину).</w:t>
      </w:r>
    </w:p>
    <w:p w14:paraId="11DCC220" w14:textId="77777777" w:rsidR="00C36561" w:rsidRDefault="00957EDE">
      <w:r>
        <w:t xml:space="preserve">Для минимизации отражений профиль клина должен быть рассчитан так, чтобы волновое сопротивление изменялось плавно от 377 Ом (воздух) до внутреннего значения материала. Наиболее часто применяется </w:t>
      </w:r>
      <w:r>
        <w:rPr>
          <w:b/>
          <w:bCs/>
        </w:rPr>
        <w:t>экспоненциальный профиль</w:t>
      </w:r>
      <w:r>
        <w:t>:</w:t>
      </w:r>
    </w:p>
    <w:p w14:paraId="5D0FEE89" w14:textId="77777777" w:rsidR="00C36561" w:rsidRDefault="00957EDE">
      <w:r>
        <w:t>где  — высот</w:t>
      </w:r>
      <w:r>
        <w:t>а клина,  — длина клина,  — коэффициент, определяющий плавность перехода.</w:t>
      </w:r>
    </w:p>
    <w:p w14:paraId="473EDE5A" w14:textId="77777777" w:rsidR="00C36561" w:rsidRDefault="00957EDE">
      <w:r>
        <w:t>Расчет экспоненциального клина для полоски шириной  (пример для WR90-типа):</w:t>
      </w:r>
    </w:p>
    <w:p w14:paraId="51E501B4" w14:textId="77777777" w:rsidR="00C36561" w:rsidRDefault="00957EDE">
      <w:pPr>
        <w:pStyle w:val="a4"/>
        <w:numPr>
          <w:ilvl w:val="0"/>
          <w:numId w:val="1"/>
        </w:numPr>
        <w:spacing w:before="60" w:after="60"/>
        <w:ind w:left="360" w:hanging="259"/>
      </w:pPr>
      <w:r>
        <w:lastRenderedPageBreak/>
        <w:t>При  получаем ;</w:t>
      </w:r>
    </w:p>
    <w:p w14:paraId="597F3C84" w14:textId="77777777" w:rsidR="00C36561" w:rsidRDefault="00957EDE">
      <w:pPr>
        <w:pStyle w:val="a4"/>
        <w:numPr>
          <w:ilvl w:val="0"/>
          <w:numId w:val="1"/>
        </w:numPr>
        <w:spacing w:before="60" w:after="60"/>
        <w:ind w:left="360" w:hanging="259"/>
      </w:pPr>
      <w:r>
        <w:t>КСВН в широкой полосе достигает  при .</w:t>
      </w:r>
    </w:p>
    <w:p w14:paraId="014183E6" w14:textId="77777777" w:rsidR="00C36561" w:rsidRDefault="00957EDE">
      <w:r>
        <w:rPr>
          <w:b/>
          <w:bCs/>
        </w:rPr>
        <w:t>Объемные нагрузки</w:t>
      </w:r>
      <w:r>
        <w:t xml:space="preserve"> используют либо воду (в жидкостны</w:t>
      </w:r>
      <w:r>
        <w:t>х системах), либо специальные керамики. Водные системы позволяют отводить мощность до 10–20 кВт при давлении 2–5 атм и потоке 5–10 л/с. Керамические системы компактнее, но обычно ограничены мощностью до 5 кВт.</w:t>
      </w:r>
    </w:p>
    <w:p w14:paraId="496DD044" w14:textId="77777777" w:rsidR="00C36561" w:rsidRDefault="00957EDE">
      <w:pPr>
        <w:pStyle w:val="3"/>
        <w:spacing w:line="276" w:lineRule="auto"/>
      </w:pPr>
      <w:r>
        <w:t>2.3. Коаксиальные и микрополосковые нагрузки</w:t>
      </w:r>
    </w:p>
    <w:p w14:paraId="14DBA603" w14:textId="77777777" w:rsidR="00C36561" w:rsidRDefault="00957EDE">
      <w:r>
        <w:t xml:space="preserve">В </w:t>
      </w:r>
      <w:r>
        <w:rPr>
          <w:b/>
          <w:bCs/>
        </w:rPr>
        <w:t>коаксиальных</w:t>
      </w:r>
      <w:r>
        <w:t xml:space="preserve"> и </w:t>
      </w:r>
      <w:r>
        <w:rPr>
          <w:b/>
          <w:bCs/>
        </w:rPr>
        <w:t>микрополосковых</w:t>
      </w:r>
      <w:r>
        <w:t xml:space="preserve"> системах применяются </w:t>
      </w:r>
      <w:r>
        <w:rPr>
          <w:b/>
          <w:bCs/>
        </w:rPr>
        <w:t>планарные пленочные резисторы</w:t>
      </w:r>
      <w:r>
        <w:t>. Схема замещения сосредоточенного резистора  в коаксиале:</w:t>
      </w:r>
    </w:p>
    <w:p w14:paraId="497C6FD8" w14:textId="77777777" w:rsidR="00C36561" w:rsidRDefault="00957EDE">
      <w:r>
        <w:t>Для распределенных схем (когда длина трaкта сравнима с длиной волны) используется модель линии с распределенной пр</w:t>
      </w:r>
      <w:r>
        <w:t>оводимостью , где  — сопротивление на единицу площади.</w:t>
      </w:r>
    </w:p>
    <w:p w14:paraId="45DB987F" w14:textId="77777777" w:rsidR="00C36561" w:rsidRDefault="00957EDE">
      <w:r>
        <w:rPr>
          <w:b/>
          <w:bCs/>
        </w:rPr>
        <w:t>Типичная конструкция «50-ом согласованной нагрузки» для коаксиального разъема:</w:t>
      </w:r>
    </w:p>
    <w:p w14:paraId="1476109D" w14:textId="77777777" w:rsidR="00C36561" w:rsidRDefault="00957EDE">
      <w:pPr>
        <w:pStyle w:val="a4"/>
        <w:numPr>
          <w:ilvl w:val="0"/>
          <w:numId w:val="1"/>
        </w:numPr>
        <w:spacing w:before="60" w:after="60"/>
        <w:ind w:left="360" w:hanging="259"/>
      </w:pPr>
      <w:r>
        <w:t>Резистивная пленка толщиной 5–10 мкм, наносящаяся на тейлон или стеклокерамику;</w:t>
      </w:r>
    </w:p>
    <w:p w14:paraId="10680DA9" w14:textId="77777777" w:rsidR="00C36561" w:rsidRDefault="00957EDE">
      <w:pPr>
        <w:pStyle w:val="a4"/>
        <w:numPr>
          <w:ilvl w:val="0"/>
          <w:numId w:val="1"/>
        </w:numPr>
        <w:spacing w:before="60" w:after="60"/>
        <w:ind w:left="360" w:hanging="259"/>
      </w:pPr>
      <w:r>
        <w:t>Обкладка из золота для улучшения контакта;</w:t>
      </w:r>
    </w:p>
    <w:p w14:paraId="02E0CFD6" w14:textId="77777777" w:rsidR="00C36561" w:rsidRDefault="00957EDE">
      <w:pPr>
        <w:pStyle w:val="a4"/>
        <w:numPr>
          <w:ilvl w:val="0"/>
          <w:numId w:val="1"/>
        </w:numPr>
        <w:spacing w:before="60" w:after="60"/>
        <w:ind w:left="360" w:hanging="259"/>
      </w:pPr>
      <w:r>
        <w:t>Корпус с разъемом типа SMA или BNC.</w:t>
      </w:r>
    </w:p>
    <w:p w14:paraId="0591E424" w14:textId="77777777" w:rsidR="00C36561" w:rsidRDefault="00957EDE">
      <w:pPr>
        <w:jc w:val="center"/>
      </w:pPr>
      <w:r>
        <w:rPr>
          <w:color w:val="CCCCCC"/>
        </w:rPr>
        <w:t>──────────────────────────────────────────────────</w:t>
      </w:r>
    </w:p>
    <w:p w14:paraId="48E9F0AD" w14:textId="77777777" w:rsidR="00C36561" w:rsidRDefault="00957EDE">
      <w:pPr>
        <w:pStyle w:val="2"/>
        <w:spacing w:line="276" w:lineRule="auto"/>
      </w:pPr>
      <w:r>
        <w:lastRenderedPageBreak/>
        <w:t>Глава 3. Аттенюаторы</w:t>
      </w:r>
    </w:p>
    <w:p w14:paraId="51C30523" w14:textId="77777777" w:rsidR="00C36561" w:rsidRDefault="00957EDE">
      <w:pPr>
        <w:pStyle w:val="3"/>
        <w:spacing w:line="276" w:lineRule="auto"/>
      </w:pPr>
      <w:r>
        <w:t>3.1. Классификация по принципу действия</w:t>
      </w:r>
    </w:p>
    <w:p w14:paraId="41A8FAA3" w14:textId="77777777" w:rsidR="00C36561" w:rsidRDefault="00957EDE">
      <w:pPr>
        <w:pStyle w:val="a4"/>
        <w:numPr>
          <w:ilvl w:val="0"/>
          <w:numId w:val="2"/>
        </w:numPr>
        <w:spacing w:before="60" w:after="60"/>
      </w:pPr>
      <w:r>
        <w:rPr>
          <w:b/>
          <w:bCs/>
        </w:rPr>
        <w:t>Поглощающие (резистивные).</w:t>
      </w:r>
      <w:r>
        <w:br/>
        <w:t>Фиксированные и переменные, работающие на основе омического нагрева в пленке или</w:t>
      </w:r>
      <w:r>
        <w:t xml:space="preserve"> резистивной подложке.</w:t>
      </w:r>
    </w:p>
    <w:p w14:paraId="0AA420C6" w14:textId="77777777" w:rsidR="00C36561" w:rsidRDefault="00957EDE">
      <w:pPr>
        <w:pStyle w:val="a4"/>
        <w:numPr>
          <w:ilvl w:val="0"/>
          <w:numId w:val="2"/>
        </w:numPr>
        <w:spacing w:before="60" w:after="60"/>
      </w:pPr>
      <w:r>
        <w:rPr>
          <w:b/>
          <w:bCs/>
        </w:rPr>
        <w:t>Предельные (Cut-Off).</w:t>
      </w:r>
      <w:r>
        <w:br/>
        <w:t>Используют волновод, работающий ниже критической частоты: затухание экспоненциально растёт с длиной.</w:t>
      </w:r>
    </w:p>
    <w:p w14:paraId="558A1270" w14:textId="77777777" w:rsidR="00C36561" w:rsidRDefault="00957EDE">
      <w:pPr>
        <w:pStyle w:val="a4"/>
        <w:numPr>
          <w:ilvl w:val="0"/>
          <w:numId w:val="2"/>
        </w:numPr>
        <w:spacing w:before="60" w:after="60"/>
      </w:pPr>
      <w:r>
        <w:rPr>
          <w:b/>
          <w:bCs/>
        </w:rPr>
        <w:t>Поляризационные.</w:t>
      </w:r>
      <w:r>
        <w:br/>
        <w:t>Используют ферритовый вращатель для изменения поляризации и последующего поглощения нежелател</w:t>
      </w:r>
      <w:r>
        <w:t>ьной составляющей.</w:t>
      </w:r>
    </w:p>
    <w:p w14:paraId="2CF2299B" w14:textId="77777777" w:rsidR="00C36561" w:rsidRDefault="00957EDE">
      <w:pPr>
        <w:pStyle w:val="3"/>
        <w:spacing w:line="276" w:lineRule="auto"/>
      </w:pPr>
      <w:r>
        <w:t>3.2. Основные параметры и характеристики</w:t>
      </w:r>
    </w:p>
    <w:p w14:paraId="6132EDC2" w14:textId="77777777" w:rsidR="00C36561" w:rsidRDefault="00957EDE">
      <w:pPr>
        <w:pStyle w:val="a4"/>
        <w:numPr>
          <w:ilvl w:val="0"/>
          <w:numId w:val="1"/>
        </w:numPr>
        <w:spacing w:before="60" w:after="60"/>
        <w:ind w:left="360" w:hanging="259"/>
      </w:pPr>
      <w:r>
        <w:rPr>
          <w:b/>
          <w:bCs/>
        </w:rPr>
        <w:t>Вносимое ослабление</w:t>
      </w:r>
      <w:r>
        <w:t xml:space="preserve">  в дБ: </w:t>
      </w:r>
    </w:p>
    <w:p w14:paraId="79D80C21" w14:textId="77777777" w:rsidR="00C36561" w:rsidRDefault="00957EDE">
      <w:pPr>
        <w:pStyle w:val="a4"/>
        <w:numPr>
          <w:ilvl w:val="0"/>
          <w:numId w:val="1"/>
        </w:numPr>
        <w:spacing w:before="60" w:after="60"/>
        <w:ind w:left="360" w:hanging="259"/>
      </w:pPr>
      <w:r>
        <w:rPr>
          <w:b/>
          <w:bCs/>
        </w:rPr>
        <w:t>Точность установки</w:t>
      </w:r>
      <w:r>
        <w:t xml:space="preserve"> — отклонение от номинала, обычно  для образцовых.</w:t>
      </w:r>
    </w:p>
    <w:p w14:paraId="70565A54" w14:textId="77777777" w:rsidR="00C36561" w:rsidRDefault="00957EDE">
      <w:pPr>
        <w:pStyle w:val="a4"/>
        <w:numPr>
          <w:ilvl w:val="0"/>
          <w:numId w:val="1"/>
        </w:numPr>
        <w:spacing w:before="60" w:after="60"/>
        <w:ind w:left="360" w:hanging="259"/>
      </w:pPr>
      <w:r>
        <w:rPr>
          <w:b/>
          <w:bCs/>
        </w:rPr>
        <w:t>КСВН по входу и выходу</w:t>
      </w:r>
      <w:r>
        <w:t xml:space="preserve"> — двустороннее согласование критично для стабильности измерений: даже небольшое отражение на одном конце может создать standing-wave на другом.</w:t>
      </w:r>
    </w:p>
    <w:p w14:paraId="3BD42A99" w14:textId="77777777" w:rsidR="00C36561" w:rsidRDefault="00957EDE">
      <w:pPr>
        <w:pStyle w:val="3"/>
        <w:spacing w:line="276" w:lineRule="auto"/>
      </w:pPr>
      <w:r>
        <w:t>3.3. Поглощающие (резистивные) аттенюаторы</w:t>
      </w:r>
    </w:p>
    <w:p w14:paraId="55730094" w14:textId="77777777" w:rsidR="00C36561" w:rsidRDefault="00957EDE">
      <w:r>
        <w:rPr>
          <w:b/>
          <w:bCs/>
        </w:rPr>
        <w:t>Фиксированные аттенюаторы</w:t>
      </w:r>
      <w:r>
        <w:t xml:space="preserve"> реализуются по схемам:</w:t>
      </w:r>
    </w:p>
    <w:p w14:paraId="37EA152B" w14:textId="77777777" w:rsidR="00C36561" w:rsidRDefault="00957EDE">
      <w:pPr>
        <w:pStyle w:val="a4"/>
        <w:numPr>
          <w:ilvl w:val="0"/>
          <w:numId w:val="1"/>
        </w:numPr>
        <w:spacing w:before="60" w:after="60"/>
        <w:ind w:left="360" w:hanging="259"/>
      </w:pPr>
      <w:r>
        <w:rPr>
          <w:b/>
          <w:bCs/>
        </w:rPr>
        <w:lastRenderedPageBreak/>
        <w:t>Т-образная схема</w:t>
      </w:r>
      <w:r>
        <w:t>: д</w:t>
      </w:r>
      <w:r>
        <w:t>ва резистора по  и центральный , суммарный импеданс ;</w:t>
      </w:r>
    </w:p>
    <w:p w14:paraId="2A3ADF93" w14:textId="77777777" w:rsidR="00C36561" w:rsidRDefault="00957EDE">
      <w:pPr>
        <w:pStyle w:val="a4"/>
        <w:numPr>
          <w:ilvl w:val="0"/>
          <w:numId w:val="1"/>
        </w:numPr>
        <w:spacing w:before="60" w:after="60"/>
        <w:ind w:left="360" w:hanging="259"/>
      </w:pPr>
      <w:r>
        <w:rPr>
          <w:b/>
          <w:bCs/>
        </w:rPr>
        <w:t>П-образная схема</w:t>
      </w:r>
      <w:r>
        <w:t>: два резистора по  и центральный ;</w:t>
      </w:r>
    </w:p>
    <w:p w14:paraId="2F9FD2C9" w14:textId="77777777" w:rsidR="00C36561" w:rsidRDefault="00957EDE">
      <w:pPr>
        <w:pStyle w:val="a4"/>
        <w:numPr>
          <w:ilvl w:val="0"/>
          <w:numId w:val="1"/>
        </w:numPr>
        <w:spacing w:before="60" w:after="60"/>
        <w:ind w:left="360" w:hanging="259"/>
      </w:pPr>
      <w:r>
        <w:rPr>
          <w:b/>
          <w:bCs/>
        </w:rPr>
        <w:t>Мостовая схема</w:t>
      </w:r>
      <w:r>
        <w:t>: четыре резистора для точного баланса при высоких КСВН.</w:t>
      </w:r>
    </w:p>
    <w:p w14:paraId="21662E55" w14:textId="77777777" w:rsidR="00C36561" w:rsidRDefault="00957EDE">
      <w:r>
        <w:t>Расчет номиналов для П-образной схемы с требуемым  и :</w:t>
      </w:r>
    </w:p>
    <w:p w14:paraId="680C2707" w14:textId="77777777" w:rsidR="00C36561" w:rsidRDefault="00957EDE">
      <w:r>
        <w:t>В распределенных реализа</w:t>
      </w:r>
      <w:r>
        <w:t>циях (полосковые линии) используется непрерывная резистивная подложка.</w:t>
      </w:r>
    </w:p>
    <w:p w14:paraId="35422191" w14:textId="77777777" w:rsidR="00C36561" w:rsidRDefault="00957EDE">
      <w:r>
        <w:rPr>
          <w:b/>
          <w:bCs/>
        </w:rPr>
        <w:t>Переменные аттенюаторы</w:t>
      </w:r>
      <w:r>
        <w:t xml:space="preserve"> бывают:</w:t>
      </w:r>
    </w:p>
    <w:p w14:paraId="450E9257" w14:textId="77777777" w:rsidR="00C36561" w:rsidRDefault="00957EDE">
      <w:pPr>
        <w:pStyle w:val="a4"/>
        <w:numPr>
          <w:ilvl w:val="0"/>
          <w:numId w:val="1"/>
        </w:numPr>
        <w:spacing w:before="60" w:after="60"/>
        <w:ind w:left="360" w:hanging="259"/>
      </w:pPr>
      <w:r>
        <w:rPr>
          <w:b/>
          <w:bCs/>
        </w:rPr>
        <w:t>Ступенчатые</w:t>
      </w:r>
      <w:r>
        <w:t xml:space="preserve"> — дискретные положения «нарезанного клина»;</w:t>
      </w:r>
    </w:p>
    <w:p w14:paraId="5B10E533" w14:textId="77777777" w:rsidR="00C36561" w:rsidRDefault="00957EDE">
      <w:pPr>
        <w:pStyle w:val="a4"/>
        <w:numPr>
          <w:ilvl w:val="0"/>
          <w:numId w:val="1"/>
        </w:numPr>
        <w:spacing w:before="60" w:after="60"/>
        <w:ind w:left="360" w:hanging="259"/>
      </w:pPr>
      <w:r>
        <w:rPr>
          <w:b/>
          <w:bCs/>
        </w:rPr>
        <w:t>Плавные</w:t>
      </w:r>
      <w:r>
        <w:t xml:space="preserve"> — непрерывное перемещение резистивной пленки или клина.</w:t>
      </w:r>
    </w:p>
    <w:p w14:paraId="3235CE50" w14:textId="77777777" w:rsidR="00C36561" w:rsidRDefault="00957EDE">
      <w:r>
        <w:t>Типичная механика: ножевой аттенюа</w:t>
      </w:r>
      <w:r>
        <w:t>тор перемещает ножевую кромку между поглотителем и трактом, изменяя эффективную длину поглощения.</w:t>
      </w:r>
    </w:p>
    <w:p w14:paraId="5538A568" w14:textId="77777777" w:rsidR="00C36561" w:rsidRDefault="00957EDE">
      <w:pPr>
        <w:pStyle w:val="3"/>
        <w:spacing w:line="276" w:lineRule="auto"/>
      </w:pPr>
      <w:r>
        <w:t>3.4. Предельные аттенюаторы (Cut-Off)</w:t>
      </w:r>
    </w:p>
    <w:p w14:paraId="792E7885" w14:textId="77777777" w:rsidR="00C36561" w:rsidRDefault="00957EDE">
      <w:r>
        <w:t>Принцип: волновод работает на частоте ниже критической , что приводит к экспоненциальному затуханию. Затухание описывает</w:t>
      </w:r>
      <w:r>
        <w:t>ся формулой:</w:t>
      </w:r>
    </w:p>
    <w:p w14:paraId="06D27C2F" w14:textId="77777777" w:rsidR="00C36561" w:rsidRDefault="00957EDE">
      <w:r>
        <w:t>где:</w:t>
      </w:r>
    </w:p>
    <w:p w14:paraId="53F2BFE9" w14:textId="77777777" w:rsidR="00C36561" w:rsidRDefault="00957EDE">
      <w:pPr>
        <w:pStyle w:val="a4"/>
        <w:numPr>
          <w:ilvl w:val="0"/>
          <w:numId w:val="1"/>
        </w:numPr>
        <w:spacing w:before="60" w:after="60"/>
        <w:ind w:left="360" w:hanging="259"/>
      </w:pPr>
      <w:r>
        <w:t xml:space="preserve"> — постоянная затухания (зависит от размеров волновода и длины волны),</w:t>
      </w:r>
    </w:p>
    <w:p w14:paraId="22B92743" w14:textId="77777777" w:rsidR="00C36561" w:rsidRDefault="00957EDE">
      <w:pPr>
        <w:pStyle w:val="a4"/>
        <w:numPr>
          <w:ilvl w:val="0"/>
          <w:numId w:val="1"/>
        </w:numPr>
        <w:spacing w:before="60" w:after="60"/>
        <w:ind w:left="360" w:hanging="259"/>
      </w:pPr>
      <w:r>
        <w:lastRenderedPageBreak/>
        <w:t xml:space="preserve"> — длина поглотительной секции,</w:t>
      </w:r>
    </w:p>
    <w:p w14:paraId="3423F21C" w14:textId="77777777" w:rsidR="00C36561" w:rsidRDefault="00957EDE">
      <w:pPr>
        <w:pStyle w:val="a4"/>
        <w:numPr>
          <w:ilvl w:val="0"/>
          <w:numId w:val="1"/>
        </w:numPr>
        <w:spacing w:before="60" w:after="60"/>
        <w:ind w:left="360" w:hanging="259"/>
      </w:pPr>
      <w:r>
        <w:t xml:space="preserve"> — реактивная часть (в идеальном случае стремится к 0).</w:t>
      </w:r>
    </w:p>
    <w:p w14:paraId="620BDB8F" w14:textId="77777777" w:rsidR="00C36561" w:rsidRDefault="00957EDE">
      <w:r>
        <w:t>Для прямоугольного волновода  (ширина  в плоскости Е):</w:t>
      </w:r>
    </w:p>
    <w:p w14:paraId="7BF2F069" w14:textId="77777777" w:rsidR="00C36561" w:rsidRDefault="00957EDE">
      <w:r>
        <w:t xml:space="preserve">При </w:t>
      </w:r>
      <w:r>
        <w:t xml:space="preserve"> затухание  за длину  достигает 10 дБ уже при . Это делает предельные аттенюаторы идеальными образцовыми мерами ослабления.</w:t>
      </w:r>
    </w:p>
    <w:p w14:paraId="31FDE8D4" w14:textId="77777777" w:rsidR="00C36561" w:rsidRDefault="00957EDE">
      <w:pPr>
        <w:jc w:val="center"/>
      </w:pPr>
      <w:r>
        <w:rPr>
          <w:color w:val="CCCCCC"/>
        </w:rPr>
        <w:t>──────────────────────────────────────────────────</w:t>
      </w:r>
    </w:p>
    <w:p w14:paraId="74D9CA14" w14:textId="77777777" w:rsidR="00C36561" w:rsidRDefault="00957EDE">
      <w:pPr>
        <w:pStyle w:val="2"/>
        <w:spacing w:line="276" w:lineRule="auto"/>
      </w:pPr>
      <w:r>
        <w:t>Глава 4. Сравнительный анализ и практическое применение</w:t>
      </w:r>
    </w:p>
    <w:p w14:paraId="622A62E4" w14:textId="77777777" w:rsidR="00C36561" w:rsidRDefault="00957EDE">
      <w:pPr>
        <w:pStyle w:val="3"/>
        <w:spacing w:line="276" w:lineRule="auto"/>
      </w:pPr>
      <w:r>
        <w:t>4.1. Сравнение типов атте</w:t>
      </w:r>
      <w:r>
        <w:t>нюаторов</w:t>
      </w:r>
    </w:p>
    <w:tbl>
      <w:tblPr>
        <w:tblW w:w="5000" w:type="pct"/>
        <w:tblBorders>
          <w:top w:val="single" w:sz="4" w:space="0" w:color="BFBFBF"/>
          <w:left w:val="single" w:sz="4" w:space="0" w:color="BFBFBF"/>
          <w:bottom w:val="single" w:sz="4" w:space="0" w:color="BFBFBF"/>
          <w:right w:val="single" w:sz="4" w:space="0" w:color="BFBFBF"/>
          <w:insideH w:val="single" w:sz="4" w:space="0" w:color="BFBFBF"/>
          <w:insideV w:val="single" w:sz="4" w:space="0" w:color="BFBFBF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264"/>
        <w:gridCol w:w="1332"/>
        <w:gridCol w:w="1651"/>
        <w:gridCol w:w="1500"/>
        <w:gridCol w:w="2269"/>
      </w:tblGrid>
      <w:tr w:rsidR="00C36561" w14:paraId="16201F7A" w14:textId="77777777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F2F2F2"/>
            <w:tcMar>
              <w:top w:w="72" w:type="dxa"/>
              <w:left w:w="115" w:type="dxa"/>
              <w:bottom w:w="72" w:type="dxa"/>
              <w:right w:w="115" w:type="dxa"/>
            </w:tcMar>
          </w:tcPr>
          <w:p w14:paraId="0F20A7F6" w14:textId="77777777" w:rsidR="00C36561" w:rsidRDefault="00957EDE">
            <w:r>
              <w:rPr>
                <w:color w:val="000000"/>
              </w:rPr>
              <w:t>Тип</w:t>
            </w:r>
          </w:p>
        </w:tc>
        <w:tc>
          <w:tcPr>
            <w:tcW w:w="0" w:type="auto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F2F2F2"/>
            <w:tcMar>
              <w:top w:w="72" w:type="dxa"/>
              <w:left w:w="115" w:type="dxa"/>
              <w:bottom w:w="72" w:type="dxa"/>
              <w:right w:w="115" w:type="dxa"/>
            </w:tcMar>
          </w:tcPr>
          <w:p w14:paraId="72D847C1" w14:textId="77777777" w:rsidR="00C36561" w:rsidRDefault="00957EDE">
            <w:r>
              <w:rPr>
                <w:color w:val="000000"/>
              </w:rPr>
              <w:t>Точность</w:t>
            </w:r>
          </w:p>
        </w:tc>
        <w:tc>
          <w:tcPr>
            <w:tcW w:w="0" w:type="auto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F2F2F2"/>
            <w:tcMar>
              <w:top w:w="72" w:type="dxa"/>
              <w:left w:w="115" w:type="dxa"/>
              <w:bottom w:w="72" w:type="dxa"/>
              <w:right w:w="115" w:type="dxa"/>
            </w:tcMar>
          </w:tcPr>
          <w:p w14:paraId="6E45AA93" w14:textId="77777777" w:rsidR="00C36561" w:rsidRDefault="00957EDE">
            <w:r>
              <w:rPr>
                <w:color w:val="000000"/>
              </w:rPr>
              <w:t>Полоса</w:t>
            </w:r>
          </w:p>
        </w:tc>
        <w:tc>
          <w:tcPr>
            <w:tcW w:w="0" w:type="auto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F2F2F2"/>
            <w:tcMar>
              <w:top w:w="72" w:type="dxa"/>
              <w:left w:w="115" w:type="dxa"/>
              <w:bottom w:w="72" w:type="dxa"/>
              <w:right w:w="115" w:type="dxa"/>
            </w:tcMar>
          </w:tcPr>
          <w:p w14:paraId="01ADC629" w14:textId="77777777" w:rsidR="00C36561" w:rsidRDefault="00957EDE">
            <w:r>
              <w:rPr>
                <w:color w:val="000000"/>
              </w:rPr>
              <w:t>Мощность</w:t>
            </w:r>
          </w:p>
        </w:tc>
        <w:tc>
          <w:tcPr>
            <w:tcW w:w="0" w:type="auto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F2F2F2"/>
            <w:tcMar>
              <w:top w:w="72" w:type="dxa"/>
              <w:left w:w="115" w:type="dxa"/>
              <w:bottom w:w="72" w:type="dxa"/>
              <w:right w:w="115" w:type="dxa"/>
            </w:tcMar>
          </w:tcPr>
          <w:p w14:paraId="0297D702" w14:textId="77777777" w:rsidR="00C36561" w:rsidRDefault="00957EDE">
            <w:r>
              <w:rPr>
                <w:color w:val="000000"/>
              </w:rPr>
              <w:t>Типичное применение</w:t>
            </w:r>
          </w:p>
        </w:tc>
      </w:tr>
      <w:tr w:rsidR="00C36561" w14:paraId="72658AA1" w14:textId="77777777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FFFFFF"/>
            <w:tcMar>
              <w:top w:w="72" w:type="dxa"/>
              <w:left w:w="115" w:type="dxa"/>
              <w:bottom w:w="72" w:type="dxa"/>
              <w:right w:w="115" w:type="dxa"/>
            </w:tcMar>
          </w:tcPr>
          <w:p w14:paraId="69645B30" w14:textId="77777777" w:rsidR="00C36561" w:rsidRDefault="00957EDE">
            <w:r>
              <w:t>Поглощающие (полосковые)</w:t>
            </w:r>
          </w:p>
        </w:tc>
        <w:tc>
          <w:tcPr>
            <w:tcW w:w="0" w:type="auto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FFFFFF"/>
            <w:tcMar>
              <w:top w:w="72" w:type="dxa"/>
              <w:left w:w="115" w:type="dxa"/>
              <w:bottom w:w="72" w:type="dxa"/>
              <w:right w:w="115" w:type="dxa"/>
            </w:tcMar>
          </w:tcPr>
          <w:p w14:paraId="4A0B2AC7" w14:textId="77777777" w:rsidR="00C36561" w:rsidRDefault="00C36561"/>
        </w:tc>
        <w:tc>
          <w:tcPr>
            <w:tcW w:w="0" w:type="auto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FFFFFF"/>
            <w:tcMar>
              <w:top w:w="72" w:type="dxa"/>
              <w:left w:w="115" w:type="dxa"/>
              <w:bottom w:w="72" w:type="dxa"/>
              <w:right w:w="115" w:type="dxa"/>
            </w:tcMar>
          </w:tcPr>
          <w:p w14:paraId="297502F7" w14:textId="77777777" w:rsidR="00C36561" w:rsidRDefault="00957EDE">
            <w:r>
              <w:t>Широкая (&gt;1 окт.)</w:t>
            </w:r>
          </w:p>
        </w:tc>
        <w:tc>
          <w:tcPr>
            <w:tcW w:w="0" w:type="auto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FFFFFF"/>
            <w:tcMar>
              <w:top w:w="72" w:type="dxa"/>
              <w:left w:w="115" w:type="dxa"/>
              <w:bottom w:w="72" w:type="dxa"/>
              <w:right w:w="115" w:type="dxa"/>
            </w:tcMar>
          </w:tcPr>
          <w:p w14:paraId="08FF7C13" w14:textId="77777777" w:rsidR="00C36561" w:rsidRDefault="00957EDE">
            <w:r>
              <w:t>1–100 Вт</w:t>
            </w:r>
          </w:p>
        </w:tc>
        <w:tc>
          <w:tcPr>
            <w:tcW w:w="0" w:type="auto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FFFFFF"/>
            <w:tcMar>
              <w:top w:w="72" w:type="dxa"/>
              <w:left w:w="115" w:type="dxa"/>
              <w:bottom w:w="72" w:type="dxa"/>
              <w:right w:w="115" w:type="dxa"/>
            </w:tcMar>
          </w:tcPr>
          <w:p w14:paraId="4C479D2C" w14:textId="77777777" w:rsidR="00C36561" w:rsidRDefault="00957EDE">
            <w:r>
              <w:t>Измерительные тракты</w:t>
            </w:r>
          </w:p>
        </w:tc>
      </w:tr>
      <w:tr w:rsidR="00C36561" w14:paraId="37E1AED0" w14:textId="77777777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F9F9F9"/>
            <w:tcMar>
              <w:top w:w="72" w:type="dxa"/>
              <w:left w:w="115" w:type="dxa"/>
              <w:bottom w:w="72" w:type="dxa"/>
              <w:right w:w="115" w:type="dxa"/>
            </w:tcMar>
          </w:tcPr>
          <w:p w14:paraId="3C844709" w14:textId="77777777" w:rsidR="00C36561" w:rsidRDefault="00957EDE">
            <w:r>
              <w:t>Механические (волноводные)</w:t>
            </w:r>
          </w:p>
        </w:tc>
        <w:tc>
          <w:tcPr>
            <w:tcW w:w="0" w:type="auto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F9F9F9"/>
            <w:tcMar>
              <w:top w:w="72" w:type="dxa"/>
              <w:left w:w="115" w:type="dxa"/>
              <w:bottom w:w="72" w:type="dxa"/>
              <w:right w:w="115" w:type="dxa"/>
            </w:tcMar>
          </w:tcPr>
          <w:p w14:paraId="39A60A8C" w14:textId="77777777" w:rsidR="00C36561" w:rsidRDefault="00C36561"/>
        </w:tc>
        <w:tc>
          <w:tcPr>
            <w:tcW w:w="0" w:type="auto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F9F9F9"/>
            <w:tcMar>
              <w:top w:w="72" w:type="dxa"/>
              <w:left w:w="115" w:type="dxa"/>
              <w:bottom w:w="72" w:type="dxa"/>
              <w:right w:w="115" w:type="dxa"/>
            </w:tcMar>
          </w:tcPr>
          <w:p w14:paraId="31EF7460" w14:textId="77777777" w:rsidR="00C36561" w:rsidRDefault="00957EDE">
            <w:r>
              <w:t>Срединная</w:t>
            </w:r>
          </w:p>
        </w:tc>
        <w:tc>
          <w:tcPr>
            <w:tcW w:w="0" w:type="auto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F9F9F9"/>
            <w:tcMar>
              <w:top w:w="72" w:type="dxa"/>
              <w:left w:w="115" w:type="dxa"/>
              <w:bottom w:w="72" w:type="dxa"/>
              <w:right w:w="115" w:type="dxa"/>
            </w:tcMar>
          </w:tcPr>
          <w:p w14:paraId="4A5066B5" w14:textId="77777777" w:rsidR="00C36561" w:rsidRDefault="00957EDE">
            <w:r>
              <w:t>10–500 кВт</w:t>
            </w:r>
          </w:p>
        </w:tc>
        <w:tc>
          <w:tcPr>
            <w:tcW w:w="0" w:type="auto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F9F9F9"/>
            <w:tcMar>
              <w:top w:w="72" w:type="dxa"/>
              <w:left w:w="115" w:type="dxa"/>
              <w:bottom w:w="72" w:type="dxa"/>
              <w:right w:w="115" w:type="dxa"/>
            </w:tcMar>
          </w:tcPr>
          <w:p w14:paraId="098113CF" w14:textId="77777777" w:rsidR="00C36561" w:rsidRDefault="00957EDE">
            <w:r>
              <w:t>Радарные тракты</w:t>
            </w:r>
          </w:p>
        </w:tc>
      </w:tr>
      <w:tr w:rsidR="00C36561" w14:paraId="61D8CF57" w14:textId="77777777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FFFFFF"/>
            <w:tcMar>
              <w:top w:w="72" w:type="dxa"/>
              <w:left w:w="115" w:type="dxa"/>
              <w:bottom w:w="72" w:type="dxa"/>
              <w:right w:w="115" w:type="dxa"/>
            </w:tcMar>
          </w:tcPr>
          <w:p w14:paraId="67FC2765" w14:textId="77777777" w:rsidR="00C36561" w:rsidRDefault="00957EDE">
            <w:r>
              <w:t>Предельные (Cut-Off)</w:t>
            </w:r>
          </w:p>
        </w:tc>
        <w:tc>
          <w:tcPr>
            <w:tcW w:w="0" w:type="auto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FFFFFF"/>
            <w:tcMar>
              <w:top w:w="72" w:type="dxa"/>
              <w:left w:w="115" w:type="dxa"/>
              <w:bottom w:w="72" w:type="dxa"/>
              <w:right w:w="115" w:type="dxa"/>
            </w:tcMar>
          </w:tcPr>
          <w:p w14:paraId="4F80329F" w14:textId="77777777" w:rsidR="00C36561" w:rsidRDefault="00C36561"/>
        </w:tc>
        <w:tc>
          <w:tcPr>
            <w:tcW w:w="0" w:type="auto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FFFFFF"/>
            <w:tcMar>
              <w:top w:w="72" w:type="dxa"/>
              <w:left w:w="115" w:type="dxa"/>
              <w:bottom w:w="72" w:type="dxa"/>
              <w:right w:w="115" w:type="dxa"/>
            </w:tcMar>
          </w:tcPr>
          <w:p w14:paraId="0422CAF1" w14:textId="77777777" w:rsidR="00C36561" w:rsidRDefault="00957EDE">
            <w:r>
              <w:t>Узкая (&lt;0,1 окт.)</w:t>
            </w:r>
          </w:p>
        </w:tc>
        <w:tc>
          <w:tcPr>
            <w:tcW w:w="0" w:type="auto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FFFFFF"/>
            <w:tcMar>
              <w:top w:w="72" w:type="dxa"/>
              <w:left w:w="115" w:type="dxa"/>
              <w:bottom w:w="72" w:type="dxa"/>
              <w:right w:w="115" w:type="dxa"/>
            </w:tcMar>
          </w:tcPr>
          <w:p w14:paraId="45D03679" w14:textId="77777777" w:rsidR="00C36561" w:rsidRDefault="00957EDE">
            <w:r>
              <w:t>1–100 Вт</w:t>
            </w:r>
          </w:p>
        </w:tc>
        <w:tc>
          <w:tcPr>
            <w:tcW w:w="0" w:type="auto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FFFFFF"/>
            <w:tcMar>
              <w:top w:w="72" w:type="dxa"/>
              <w:left w:w="115" w:type="dxa"/>
              <w:bottom w:w="72" w:type="dxa"/>
              <w:right w:w="115" w:type="dxa"/>
            </w:tcMar>
          </w:tcPr>
          <w:p w14:paraId="5FC69F44" w14:textId="77777777" w:rsidR="00C36561" w:rsidRDefault="00957EDE">
            <w:r>
              <w:t>Образцовые эталоны</w:t>
            </w:r>
          </w:p>
        </w:tc>
      </w:tr>
    </w:tbl>
    <w:p w14:paraId="55971C10" w14:textId="77777777" w:rsidR="00C36561" w:rsidRDefault="00957EDE">
      <w:pPr>
        <w:pStyle w:val="3"/>
        <w:spacing w:line="276" w:lineRule="auto"/>
      </w:pPr>
      <w:r>
        <w:t>4.2. Применение в измерительной технике</w:t>
      </w:r>
    </w:p>
    <w:p w14:paraId="211C7B64" w14:textId="77777777" w:rsidR="00C36561" w:rsidRDefault="00957EDE">
      <w:pPr>
        <w:pStyle w:val="a4"/>
        <w:numPr>
          <w:ilvl w:val="0"/>
          <w:numId w:val="1"/>
        </w:numPr>
        <w:spacing w:before="60" w:after="60"/>
        <w:ind w:left="360" w:hanging="259"/>
      </w:pPr>
      <w:r>
        <w:rPr>
          <w:b/>
          <w:bCs/>
        </w:rPr>
        <w:t>Эквиваленты сети</w:t>
      </w:r>
      <w:r>
        <w:t>: имитация реальных антенн и трактов.</w:t>
      </w:r>
    </w:p>
    <w:p w14:paraId="5CB65C2E" w14:textId="77777777" w:rsidR="00C36561" w:rsidRDefault="00957EDE">
      <w:pPr>
        <w:pStyle w:val="a4"/>
        <w:numPr>
          <w:ilvl w:val="0"/>
          <w:numId w:val="1"/>
        </w:numPr>
        <w:spacing w:before="60" w:after="60"/>
        <w:ind w:left="360" w:hanging="259"/>
      </w:pPr>
      <w:r>
        <w:rPr>
          <w:b/>
          <w:bCs/>
        </w:rPr>
        <w:lastRenderedPageBreak/>
        <w:t>Измерение мощности</w:t>
      </w:r>
      <w:r>
        <w:t>: калориметрические нагрузки для абсолютной калориметрии.</w:t>
      </w:r>
    </w:p>
    <w:p w14:paraId="5AFB3B08" w14:textId="77777777" w:rsidR="00C36561" w:rsidRDefault="00957EDE">
      <w:pPr>
        <w:pStyle w:val="a4"/>
        <w:numPr>
          <w:ilvl w:val="0"/>
          <w:numId w:val="1"/>
        </w:numPr>
        <w:spacing w:before="60" w:after="60"/>
        <w:ind w:left="360" w:hanging="259"/>
      </w:pPr>
      <w:r>
        <w:rPr>
          <w:b/>
          <w:bCs/>
        </w:rPr>
        <w:t>Развязка и установка уровня</w:t>
      </w:r>
      <w:r>
        <w:t>: в анализаторах спектра и генераторах для стабилизации работы ВЧ-схем.</w:t>
      </w:r>
    </w:p>
    <w:p w14:paraId="73149871" w14:textId="77777777" w:rsidR="00C36561" w:rsidRDefault="00957EDE">
      <w:pPr>
        <w:pStyle w:val="3"/>
        <w:spacing w:line="276" w:lineRule="auto"/>
      </w:pPr>
      <w:r>
        <w:t>4.3. Применение в антенных системах и защите</w:t>
      </w:r>
    </w:p>
    <w:p w14:paraId="78290E86" w14:textId="77777777" w:rsidR="00C36561" w:rsidRDefault="00957EDE">
      <w:pPr>
        <w:pStyle w:val="a4"/>
        <w:numPr>
          <w:ilvl w:val="0"/>
          <w:numId w:val="1"/>
        </w:numPr>
        <w:spacing w:before="60" w:after="60"/>
        <w:ind w:left="360" w:hanging="259"/>
      </w:pPr>
      <w:r>
        <w:rPr>
          <w:b/>
          <w:bCs/>
        </w:rPr>
        <w:t>Балластные нагрузки для циркуляторов</w:t>
      </w:r>
      <w:r>
        <w:t>: поглощение отраженных волн от антенны в радарных системах.</w:t>
      </w:r>
    </w:p>
    <w:p w14:paraId="5A1F2509" w14:textId="77777777" w:rsidR="00C36561" w:rsidRDefault="00957EDE">
      <w:pPr>
        <w:pStyle w:val="a4"/>
        <w:numPr>
          <w:ilvl w:val="0"/>
          <w:numId w:val="1"/>
        </w:numPr>
        <w:spacing w:before="60" w:after="60"/>
        <w:ind w:left="360" w:hanging="259"/>
      </w:pPr>
      <w:r>
        <w:rPr>
          <w:b/>
          <w:bCs/>
        </w:rPr>
        <w:t>Мощные нагрузки для испытаний передатчиков</w:t>
      </w:r>
      <w:r>
        <w:t>: создание «реального» импеданса для проверки работы мощных усилителей.</w:t>
      </w:r>
    </w:p>
    <w:p w14:paraId="77DCBBEF" w14:textId="77777777" w:rsidR="00C36561" w:rsidRDefault="00957EDE">
      <w:r>
        <w:t>В современных 5G и автомобильных радарах (24/77 ГГц) точность аттенюаторов влияет на калибровку антенных решеток и, соответственно, на точность направления узкого луча.</w:t>
      </w:r>
    </w:p>
    <w:p w14:paraId="6A22AEB7" w14:textId="77777777" w:rsidR="00C36561" w:rsidRDefault="00957EDE">
      <w:pPr>
        <w:jc w:val="center"/>
      </w:pPr>
      <w:r>
        <w:rPr>
          <w:color w:val="CCCCCC"/>
        </w:rPr>
        <w:t>───────────────</w:t>
      </w:r>
      <w:r>
        <w:rPr>
          <w:color w:val="CCCCCC"/>
        </w:rPr>
        <w:t>───────────────────────────────────</w:t>
      </w:r>
    </w:p>
    <w:p w14:paraId="4F959C17" w14:textId="77777777" w:rsidR="00C36561" w:rsidRDefault="00957EDE">
      <w:pPr>
        <w:pStyle w:val="2"/>
        <w:spacing w:line="276" w:lineRule="auto"/>
      </w:pPr>
      <w:r>
        <w:t>Заключение</w:t>
      </w:r>
    </w:p>
    <w:p w14:paraId="3991F0A1" w14:textId="77777777" w:rsidR="00C36561" w:rsidRDefault="00957EDE">
      <w:r>
        <w:t>Поглощающие нагрузки и аттенюаторы образуют связку устройств, имеющих общую физическую основу (поглощение энергии в диэлектриках и ферритах), но выполняющих разные инженерные задачи:</w:t>
      </w:r>
    </w:p>
    <w:p w14:paraId="2EC914E6" w14:textId="77777777" w:rsidR="00C36561" w:rsidRDefault="00957EDE">
      <w:pPr>
        <w:pStyle w:val="a4"/>
        <w:numPr>
          <w:ilvl w:val="0"/>
          <w:numId w:val="1"/>
        </w:numPr>
        <w:spacing w:before="60" w:after="60"/>
        <w:ind w:left="360" w:hanging="259"/>
      </w:pPr>
      <w:r>
        <w:rPr>
          <w:b/>
          <w:bCs/>
        </w:rPr>
        <w:t>Нагрузки</w:t>
      </w:r>
      <w:r>
        <w:t xml:space="preserve"> — «энергетические»: поглощают максимальную мощность, часто за счет охлаждения, для сохранения стабильности тракта.</w:t>
      </w:r>
    </w:p>
    <w:p w14:paraId="73338F2C" w14:textId="77777777" w:rsidR="00C36561" w:rsidRDefault="00957EDE">
      <w:pPr>
        <w:pStyle w:val="a4"/>
        <w:numPr>
          <w:ilvl w:val="0"/>
          <w:numId w:val="1"/>
        </w:numPr>
        <w:spacing w:before="60" w:after="60"/>
        <w:ind w:left="360" w:hanging="259"/>
      </w:pPr>
      <w:r>
        <w:rPr>
          <w:b/>
          <w:bCs/>
        </w:rPr>
        <w:lastRenderedPageBreak/>
        <w:t>Аттенюаторы</w:t>
      </w:r>
      <w:r>
        <w:t xml:space="preserve"> — «прецизионные»: вносят точно известное ослабление для измерений и калибровки.</w:t>
      </w:r>
    </w:p>
    <w:p w14:paraId="1C08801A" w14:textId="77777777" w:rsidR="00C36561" w:rsidRDefault="00957EDE">
      <w:r>
        <w:rPr>
          <w:b/>
          <w:bCs/>
        </w:rPr>
        <w:t>Оптимальные области применения:</w:t>
      </w:r>
    </w:p>
    <w:p w14:paraId="0D271554" w14:textId="77777777" w:rsidR="00C36561" w:rsidRDefault="00957EDE">
      <w:pPr>
        <w:pStyle w:val="a4"/>
        <w:numPr>
          <w:ilvl w:val="0"/>
          <w:numId w:val="1"/>
        </w:numPr>
        <w:spacing w:before="60" w:after="60"/>
        <w:ind w:left="360" w:hanging="259"/>
      </w:pPr>
      <w:r>
        <w:rPr>
          <w:b/>
          <w:bCs/>
        </w:rPr>
        <w:t>Для мощностей св</w:t>
      </w:r>
      <w:r>
        <w:rPr>
          <w:b/>
          <w:bCs/>
        </w:rPr>
        <w:t>ыше 1 кВт</w:t>
      </w:r>
      <w:r>
        <w:t>: клиновые водяные нагрузки (объемные, с эффективной системой охлаждения).</w:t>
      </w:r>
    </w:p>
    <w:p w14:paraId="2F69ED9D" w14:textId="77777777" w:rsidR="00C36561" w:rsidRDefault="00957EDE">
      <w:pPr>
        <w:pStyle w:val="a4"/>
        <w:numPr>
          <w:ilvl w:val="0"/>
          <w:numId w:val="1"/>
        </w:numPr>
        <w:spacing w:before="60" w:after="60"/>
        <w:ind w:left="360" w:hanging="259"/>
      </w:pPr>
      <w:r>
        <w:rPr>
          <w:b/>
          <w:bCs/>
        </w:rPr>
        <w:t>Для измерительных трактов 1–100 Вт</w:t>
      </w:r>
      <w:r>
        <w:t>: полосковые пленочные резисторы в коаксиальных и микрополосковых трaктах.</w:t>
      </w:r>
    </w:p>
    <w:p w14:paraId="0DCD7F6C" w14:textId="77777777" w:rsidR="00C36561" w:rsidRDefault="00957EDE">
      <w:pPr>
        <w:pStyle w:val="a4"/>
        <w:numPr>
          <w:ilvl w:val="0"/>
          <w:numId w:val="1"/>
        </w:numPr>
        <w:spacing w:before="60" w:after="60"/>
        <w:ind w:left="360" w:hanging="259"/>
      </w:pPr>
      <w:r>
        <w:rPr>
          <w:b/>
          <w:bCs/>
        </w:rPr>
        <w:t>Для образцовых эталонов</w:t>
      </w:r>
      <w:r>
        <w:t>: предельные аттенюаторы Cut-Off, обеспечивающие высокую точность .</w:t>
      </w:r>
    </w:p>
    <w:p w14:paraId="1F9E0E7B" w14:textId="77777777" w:rsidR="00C36561" w:rsidRDefault="00957EDE">
      <w:r>
        <w:t>Без согласованных нагрузок невозможна энергетика СВЧ, а без точных аттенюаторов — современная метрология.</w:t>
      </w:r>
    </w:p>
    <w:p w14:paraId="0D9E39A9" w14:textId="77777777" w:rsidR="00C36561" w:rsidRDefault="00957EDE">
      <w:pPr>
        <w:jc w:val="center"/>
      </w:pPr>
      <w:r>
        <w:rPr>
          <w:color w:val="CCCCCC"/>
        </w:rPr>
        <w:t>──────────────────────────────────────────────────</w:t>
      </w:r>
    </w:p>
    <w:p w14:paraId="0A16CBFC" w14:textId="77777777" w:rsidR="00C36561" w:rsidRDefault="00957EDE">
      <w:pPr>
        <w:pStyle w:val="2"/>
        <w:spacing w:line="276" w:lineRule="auto"/>
      </w:pPr>
      <w:r>
        <w:t>Список литературы</w:t>
      </w:r>
    </w:p>
    <w:p w14:paraId="279C2FE1" w14:textId="77777777" w:rsidR="00C36561" w:rsidRDefault="00957EDE">
      <w:pPr>
        <w:pStyle w:val="a4"/>
        <w:numPr>
          <w:ilvl w:val="0"/>
          <w:numId w:val="2"/>
        </w:numPr>
        <w:spacing w:before="60" w:after="60"/>
      </w:pPr>
      <w:r>
        <w:t>Фельдштейн М.</w:t>
      </w:r>
      <w:r>
        <w:t xml:space="preserve"> А., Явич А. С. «Справочник по элементам волноводной техники». Москва: Радио и связь, 1987.</w:t>
      </w:r>
    </w:p>
    <w:p w14:paraId="2DE5A075" w14:textId="77777777" w:rsidR="00C36561" w:rsidRDefault="00957EDE">
      <w:pPr>
        <w:pStyle w:val="a4"/>
        <w:numPr>
          <w:ilvl w:val="0"/>
          <w:numId w:val="2"/>
        </w:numPr>
        <w:spacing w:before="60" w:after="60"/>
      </w:pPr>
      <w:r>
        <w:t>Малорацкий Ю. Н. «Проектирование полосковых устройств». Москва: Высшая школа, 1990.</w:t>
      </w:r>
    </w:p>
    <w:p w14:paraId="5D497A8D" w14:textId="77777777" w:rsidR="00C36561" w:rsidRDefault="00957EDE">
      <w:pPr>
        <w:pStyle w:val="a4"/>
        <w:numPr>
          <w:ilvl w:val="0"/>
          <w:numId w:val="2"/>
        </w:numPr>
        <w:spacing w:before="60" w:after="60"/>
      </w:pPr>
      <w:r w:rsidRPr="00957EDE">
        <w:rPr>
          <w:lang w:val="en-US"/>
        </w:rPr>
        <w:t xml:space="preserve">Collin R. E. «Foundations for Microwave Engineering». </w:t>
      </w:r>
      <w:r>
        <w:t>New York: McGraw-Hill, 199</w:t>
      </w:r>
      <w:r>
        <w:t>2.</w:t>
      </w:r>
    </w:p>
    <w:p w14:paraId="66EF4917" w14:textId="77777777" w:rsidR="00C36561" w:rsidRDefault="00957EDE">
      <w:pPr>
        <w:pStyle w:val="a4"/>
        <w:numPr>
          <w:ilvl w:val="0"/>
          <w:numId w:val="2"/>
        </w:numPr>
        <w:spacing w:before="60" w:after="60"/>
      </w:pPr>
      <w:r w:rsidRPr="00957EDE">
        <w:rPr>
          <w:lang w:val="en-US"/>
        </w:rPr>
        <w:t xml:space="preserve">Pozar D. M. «Microwave Engineering», 4th Edition. </w:t>
      </w:r>
      <w:r>
        <w:t>New York: Wiley, 2011.</w:t>
      </w:r>
    </w:p>
    <w:p w14:paraId="04D3D758" w14:textId="77777777" w:rsidR="00C36561" w:rsidRDefault="00957EDE">
      <w:pPr>
        <w:pStyle w:val="a4"/>
        <w:numPr>
          <w:ilvl w:val="0"/>
          <w:numId w:val="2"/>
        </w:numPr>
        <w:spacing w:before="60" w:after="60"/>
      </w:pPr>
      <w:r>
        <w:lastRenderedPageBreak/>
        <w:t>Гуревич В. В. «СВЧ-аттенюаторы и их применение». Москва: Радио и связь, 1995.</w:t>
      </w:r>
    </w:p>
    <w:p w14:paraId="4DF8F23B" w14:textId="77777777" w:rsidR="00C36561" w:rsidRDefault="00957EDE">
      <w:pPr>
        <w:jc w:val="center"/>
      </w:pPr>
      <w:r>
        <w:rPr>
          <w:color w:val="CCCCCC"/>
        </w:rPr>
        <w:t>──────────────────────────────────────────────────</w:t>
      </w:r>
    </w:p>
    <w:sectPr w:rsidR="00C36561">
      <w:pgSz w:w="11906" w:h="16838"/>
      <w:pgMar w:top="1440" w:right="1440" w:bottom="1440" w:left="1440" w:header="708" w:footer="708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DC158E5"/>
    <w:multiLevelType w:val="hybridMultilevel"/>
    <w:tmpl w:val="292E0C30"/>
    <w:lvl w:ilvl="0" w:tplc="DBBA31FC">
      <w:start w:val="1"/>
      <w:numFmt w:val="bullet"/>
      <w:lvlText w:val="●"/>
      <w:lvlJc w:val="left"/>
      <w:pPr>
        <w:ind w:left="720" w:hanging="360"/>
      </w:pPr>
    </w:lvl>
    <w:lvl w:ilvl="1" w:tplc="1D24401E">
      <w:start w:val="1"/>
      <w:numFmt w:val="bullet"/>
      <w:lvlText w:val="○"/>
      <w:lvlJc w:val="left"/>
      <w:pPr>
        <w:ind w:left="1440" w:hanging="360"/>
      </w:pPr>
    </w:lvl>
    <w:lvl w:ilvl="2" w:tplc="1A9C1A9C">
      <w:start w:val="1"/>
      <w:numFmt w:val="bullet"/>
      <w:lvlText w:val="■"/>
      <w:lvlJc w:val="left"/>
      <w:pPr>
        <w:ind w:left="2160" w:hanging="360"/>
      </w:pPr>
    </w:lvl>
    <w:lvl w:ilvl="3" w:tplc="57083FDA">
      <w:start w:val="1"/>
      <w:numFmt w:val="bullet"/>
      <w:lvlText w:val="●"/>
      <w:lvlJc w:val="left"/>
      <w:pPr>
        <w:ind w:left="2880" w:hanging="360"/>
      </w:pPr>
    </w:lvl>
    <w:lvl w:ilvl="4" w:tplc="E876B710">
      <w:start w:val="1"/>
      <w:numFmt w:val="bullet"/>
      <w:lvlText w:val="○"/>
      <w:lvlJc w:val="left"/>
      <w:pPr>
        <w:ind w:left="3600" w:hanging="360"/>
      </w:pPr>
    </w:lvl>
    <w:lvl w:ilvl="5" w:tplc="6D2475C2">
      <w:start w:val="1"/>
      <w:numFmt w:val="bullet"/>
      <w:lvlText w:val="■"/>
      <w:lvlJc w:val="left"/>
      <w:pPr>
        <w:ind w:left="4320" w:hanging="360"/>
      </w:pPr>
    </w:lvl>
    <w:lvl w:ilvl="6" w:tplc="2F66DA76">
      <w:start w:val="1"/>
      <w:numFmt w:val="bullet"/>
      <w:lvlText w:val="●"/>
      <w:lvlJc w:val="left"/>
      <w:pPr>
        <w:ind w:left="5040" w:hanging="360"/>
      </w:pPr>
    </w:lvl>
    <w:lvl w:ilvl="7" w:tplc="A412B468">
      <w:start w:val="1"/>
      <w:numFmt w:val="bullet"/>
      <w:lvlText w:val="●"/>
      <w:lvlJc w:val="left"/>
      <w:pPr>
        <w:ind w:left="5760" w:hanging="360"/>
      </w:pPr>
    </w:lvl>
    <w:lvl w:ilvl="8" w:tplc="AF029074">
      <w:start w:val="1"/>
      <w:numFmt w:val="bullet"/>
      <w:lvlText w:val="●"/>
      <w:lvlJc w:val="left"/>
      <w:pPr>
        <w:ind w:left="6480" w:hanging="360"/>
      </w:pPr>
    </w:lvl>
  </w:abstractNum>
  <w:abstractNum w:abstractNumId="1" w15:restartNumberingAfterBreak="0">
    <w:nsid w:val="1DAF67FF"/>
    <w:multiLevelType w:val="hybridMultilevel"/>
    <w:tmpl w:val="C0CCD40C"/>
    <w:lvl w:ilvl="0" w:tplc="51D848F4">
      <w:start w:val="1"/>
      <w:numFmt w:val="decimal"/>
      <w:lvlText w:val="%1."/>
      <w:lvlJc w:val="left"/>
      <w:pPr>
        <w:ind w:left="360" w:hanging="259"/>
      </w:pPr>
    </w:lvl>
    <w:lvl w:ilvl="1" w:tplc="2886175A">
      <w:start w:val="1"/>
      <w:numFmt w:val="lowerLetter"/>
      <w:lvlText w:val="%2."/>
      <w:lvlJc w:val="left"/>
      <w:pPr>
        <w:ind w:left="720" w:hanging="259"/>
      </w:pPr>
    </w:lvl>
    <w:lvl w:ilvl="2" w:tplc="1FBE3708">
      <w:start w:val="1"/>
      <w:numFmt w:val="lowerRoman"/>
      <w:lvlText w:val="%3."/>
      <w:lvlJc w:val="left"/>
      <w:pPr>
        <w:ind w:left="1080" w:hanging="259"/>
      </w:pPr>
    </w:lvl>
    <w:lvl w:ilvl="3" w:tplc="A3686EE4">
      <w:start w:val="1"/>
      <w:numFmt w:val="upperLetter"/>
      <w:lvlText w:val="%4."/>
      <w:lvlJc w:val="left"/>
      <w:pPr>
        <w:ind w:left="1440" w:hanging="259"/>
      </w:pPr>
    </w:lvl>
    <w:lvl w:ilvl="4" w:tplc="989AF522">
      <w:start w:val="1"/>
      <w:numFmt w:val="upperRoman"/>
      <w:lvlText w:val="%5."/>
      <w:lvlJc w:val="left"/>
      <w:pPr>
        <w:ind w:left="1800" w:hanging="259"/>
      </w:pPr>
    </w:lvl>
    <w:lvl w:ilvl="5" w:tplc="AA26F1AC">
      <w:start w:val="1"/>
      <w:numFmt w:val="decimal"/>
      <w:lvlText w:val="%6."/>
      <w:lvlJc w:val="left"/>
      <w:pPr>
        <w:ind w:left="2160" w:hanging="259"/>
      </w:pPr>
    </w:lvl>
    <w:lvl w:ilvl="6" w:tplc="0010BECA">
      <w:numFmt w:val="decimal"/>
      <w:lvlText w:val=""/>
      <w:lvlJc w:val="left"/>
    </w:lvl>
    <w:lvl w:ilvl="7" w:tplc="E0362B70">
      <w:numFmt w:val="decimal"/>
      <w:lvlText w:val=""/>
      <w:lvlJc w:val="left"/>
    </w:lvl>
    <w:lvl w:ilvl="8" w:tplc="D8D63826">
      <w:numFmt w:val="decimal"/>
      <w:lvlText w:val=""/>
      <w:lvlJc w:val="left"/>
    </w:lvl>
  </w:abstractNum>
  <w:num w:numId="1">
    <w:abstractNumId w:val="0"/>
    <w:lvlOverride w:ilvl="0">
      <w:startOverride w:val="1"/>
    </w:lvlOverride>
  </w:num>
  <w:num w:numId="2">
    <w:abstractNumId w:val="1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displayBackgroundShape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36561"/>
    <w:rsid w:val="00957EDE"/>
    <w:rsid w:val="00C365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C671234"/>
  <w15:docId w15:val="{EF9E312C-8BA6-440E-9F84-AC775F99A8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Microsoft YaHei" w:eastAsia="Microsoft YaHei" w:hAnsi="Microsoft YaHei" w:cs="Microsoft YaHei"/>
        <w:sz w:val="24"/>
        <w:szCs w:val="24"/>
        <w:lang w:val="ru-RU" w:eastAsia="ru-RU" w:bidi="ar-SA"/>
      </w:rPr>
    </w:rPrDefault>
    <w:pPrDefault>
      <w:pPr>
        <w:spacing w:before="120" w:after="120" w:line="360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uiPriority w:val="9"/>
    <w:qFormat/>
    <w:pPr>
      <w:spacing w:before="360" w:after="180"/>
      <w:outlineLvl w:val="0"/>
    </w:pPr>
    <w:rPr>
      <w:b/>
      <w:bCs/>
      <w:color w:val="2E74B5"/>
      <w:sz w:val="32"/>
      <w:szCs w:val="32"/>
    </w:rPr>
  </w:style>
  <w:style w:type="paragraph" w:styleId="2">
    <w:name w:val="heading 2"/>
    <w:uiPriority w:val="9"/>
    <w:unhideWhenUsed/>
    <w:qFormat/>
    <w:pPr>
      <w:spacing w:before="288" w:after="180"/>
      <w:outlineLvl w:val="1"/>
    </w:pPr>
    <w:rPr>
      <w:b/>
      <w:bCs/>
      <w:color w:val="2E74B5"/>
      <w:sz w:val="28"/>
      <w:szCs w:val="28"/>
    </w:rPr>
  </w:style>
  <w:style w:type="paragraph" w:styleId="3">
    <w:name w:val="heading 3"/>
    <w:uiPriority w:val="9"/>
    <w:unhideWhenUsed/>
    <w:qFormat/>
    <w:pPr>
      <w:spacing w:before="252" w:after="144"/>
      <w:outlineLvl w:val="2"/>
    </w:pPr>
    <w:rPr>
      <w:b/>
      <w:bCs/>
      <w:color w:val="2E74B5"/>
      <w:sz w:val="26"/>
      <w:szCs w:val="26"/>
    </w:rPr>
  </w:style>
  <w:style w:type="paragraph" w:styleId="4">
    <w:name w:val="heading 4"/>
    <w:uiPriority w:val="9"/>
    <w:semiHidden/>
    <w:unhideWhenUsed/>
    <w:qFormat/>
    <w:pPr>
      <w:spacing w:before="215" w:after="126"/>
      <w:outlineLvl w:val="3"/>
    </w:pPr>
    <w:rPr>
      <w:b/>
      <w:bCs/>
      <w:color w:val="2E74B5"/>
    </w:rPr>
  </w:style>
  <w:style w:type="paragraph" w:styleId="5">
    <w:name w:val="heading 5"/>
    <w:uiPriority w:val="9"/>
    <w:semiHidden/>
    <w:unhideWhenUsed/>
    <w:qFormat/>
    <w:pPr>
      <w:spacing w:before="180" w:after="107"/>
      <w:outlineLvl w:val="4"/>
    </w:pPr>
    <w:rPr>
      <w:b/>
      <w:bCs/>
      <w:color w:val="2E74B5"/>
      <w:sz w:val="22"/>
      <w:szCs w:val="22"/>
    </w:rPr>
  </w:style>
  <w:style w:type="paragraph" w:styleId="6">
    <w:name w:val="heading 6"/>
    <w:uiPriority w:val="9"/>
    <w:semiHidden/>
    <w:unhideWhenUsed/>
    <w:qFormat/>
    <w:pPr>
      <w:spacing w:before="180" w:after="107"/>
      <w:outlineLvl w:val="5"/>
    </w:pPr>
    <w:rPr>
      <w:b/>
      <w:bCs/>
      <w:color w:val="2E74B5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uiPriority w:val="10"/>
    <w:qFormat/>
    <w:rPr>
      <w:sz w:val="56"/>
      <w:szCs w:val="56"/>
    </w:rPr>
  </w:style>
  <w:style w:type="paragraph" w:customStyle="1" w:styleId="10">
    <w:name w:val="Строгий1"/>
    <w:qFormat/>
    <w:rPr>
      <w:b/>
      <w:bCs/>
    </w:rPr>
  </w:style>
  <w:style w:type="paragraph" w:styleId="a4">
    <w:name w:val="List Paragraph"/>
    <w:qFormat/>
  </w:style>
  <w:style w:type="character" w:styleId="a5">
    <w:name w:val="Hyperlink"/>
    <w:uiPriority w:val="99"/>
    <w:unhideWhenUsed/>
    <w:rPr>
      <w:color w:val="0563C1"/>
      <w:u w:val="single"/>
    </w:rPr>
  </w:style>
  <w:style w:type="character" w:styleId="a6">
    <w:name w:val="footnote reference"/>
    <w:uiPriority w:val="99"/>
    <w:semiHidden/>
    <w:unhideWhenUsed/>
    <w:rPr>
      <w:vertAlign w:val="superscript"/>
    </w:rPr>
  </w:style>
  <w:style w:type="paragraph" w:styleId="a7">
    <w:name w:val="footnote text"/>
    <w:link w:val="a8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customStyle="1" w:styleId="a8">
    <w:name w:val="Текст сноски Знак"/>
    <w:link w:val="a7"/>
    <w:uiPriority w:val="99"/>
    <w:semiHidden/>
    <w:unhideWhenUsed/>
    <w:rPr>
      <w:sz w:val="20"/>
      <w:szCs w:val="20"/>
    </w:rPr>
  </w:style>
  <w:style w:type="character" w:customStyle="1" w:styleId="mord">
    <w:name w:val="mord"/>
    <w:basedOn w:val="a0"/>
    <w:rsid w:val="00957EDE"/>
  </w:style>
  <w:style w:type="character" w:customStyle="1" w:styleId="mrel">
    <w:name w:val="mrel"/>
    <w:basedOn w:val="a0"/>
    <w:rsid w:val="00957EDE"/>
  </w:style>
  <w:style w:type="character" w:customStyle="1" w:styleId="mbin">
    <w:name w:val="mbin"/>
    <w:basedOn w:val="a0"/>
    <w:rsid w:val="00957EDE"/>
  </w:style>
  <w:style w:type="character" w:customStyle="1" w:styleId="mop">
    <w:name w:val="mop"/>
    <w:basedOn w:val="a0"/>
    <w:rsid w:val="00957ED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12</Pages>
  <Words>1631</Words>
  <Characters>9303</Characters>
  <Application>Microsoft Office Word</Application>
  <DocSecurity>0</DocSecurity>
  <Lines>77</Lines>
  <Paragraphs>21</Paragraphs>
  <ScaleCrop>false</ScaleCrop>
  <Company/>
  <LinksUpToDate>false</LinksUpToDate>
  <CharactersWithSpaces>10913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Пользователь</cp:lastModifiedBy>
  <cp:revision>2</cp:revision>
  <dcterms:created xsi:type="dcterms:W3CDTF">2026-04-27T09:32:00Z</dcterms:created>
  <dcterms:modified xsi:type="dcterms:W3CDTF">2026-04-27T09:35:00Z</dcterms:modified>
</cp:coreProperties>
</file>