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1.png" ContentType="image/png"/>
  <Override PartName="/word/media/image6.png" ContentType="image/png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tabs>
          <w:tab w:val="clear" w:pos="708"/>
          <w:tab w:val="center" w:pos="5233" w:leader="none"/>
          <w:tab w:val="right" w:pos="1046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«Новосибирский государственный технический университет»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 w:start="35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Кафедра ТОР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Лаборатория №  ____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Лабораторная работа № 8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УГЛОВАЯ МОДУЛЯЦИЯ И ДЕМОДУЛЯЦИЯ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Факультет:                            РЭФ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Группа:                                  РЭ3-31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Студент:      </w:t>
        <w:tab/>
        <w:tab/>
        <w:t xml:space="preserve">       Иванов А.А.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Преподаватель:                     Зотов Л. Г.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Дата выполнения работы:    29.03.2026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Отметка о защите:                 _____________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Новосибирск, 2026г.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Изучение процессов угловой модуляции и демодуляции.</w:t>
      </w:r>
    </w:p>
    <w:p>
      <w:pPr>
        <w:pStyle w:val="Normal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2. Предварительное задание: </w:t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Предварительное задание выполняется для стенда №2 исходя из порядкового номера студента по списку учебной группы. Исходные данные:</w:t>
      </w:r>
    </w:p>
    <w:p>
      <w:pPr>
        <w:pStyle w:val="Normal"/>
        <w:rPr>
          <w:rFonts w:ascii="Cambria Math" w:hAnsi="Cambria Math" w:cs="Cambria Math"/>
          <w:sz w:val="28"/>
          <w:szCs w:val="28"/>
        </w:rPr>
      </w:pPr>
      <w:r>
        <w:rPr>
          <w:rFonts w:cs="Cambria Math" w:ascii="Cambria Math" w:hAnsi="Cambria Math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14605</wp:posOffset>
                </wp:positionH>
                <wp:positionV relativeFrom="paragraph">
                  <wp:posOffset>-113665</wp:posOffset>
                </wp:positionV>
                <wp:extent cx="6480175" cy="880745"/>
                <wp:effectExtent l="0" t="0" r="0" b="0"/>
                <wp:wrapTopAndBottom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880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aption"/>
                              <w:suppressLineNumbers/>
                              <w:spacing w:before="120" w:after="120"/>
                              <w:rPr/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6480175" cy="880745"/>
                                  <wp:effectExtent l="0" t="0" r="0" b="0"/>
                                  <wp:docPr id="2" name="Изображение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Изображение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80175" cy="8807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/>
                              <w:t xml:space="preserve">Таблица 1 - зависимость полной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ёмкости</w:t>
                            </w:r>
                            <w:r>
                              <w:rPr/>
                              <w:t xml:space="preserve"> контура от постоянного напряжения на варикапах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path="m0,0l-2147483645,0l-2147483645,-2147483646l0,-2147483646xe" fillcolor="white" stroked="f" o:allowincell="f" style="position:absolute;margin-left:1.15pt;margin-top:-8.95pt;width:510.2pt;height:69.3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aption"/>
                        <w:suppressLineNumbers/>
                        <w:spacing w:before="120" w:after="120"/>
                        <w:rPr/>
                      </w:pPr>
                      <w:r>
                        <w:rPr/>
                        <w:drawing>
                          <wp:inline distT="0" distB="0" distL="0" distR="0">
                            <wp:extent cx="6480175" cy="880745"/>
                            <wp:effectExtent l="0" t="0" r="0" b="0"/>
                            <wp:docPr id="3" name="Изображение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Изображение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80175" cy="8807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/>
                        <w:t xml:space="preserve">Таблица 1 - зависимость полной </w:t>
                      </w:r>
                      <w:r>
                        <w:rPr>
                          <w:rFonts w:ascii="Times New Roman" w:hAnsi="Times New Roman"/>
                        </w:rPr>
                        <w:t>ёмкости</w:t>
                      </w:r>
                      <w:r>
                        <w:rPr/>
                        <w:t xml:space="preserve"> контура от постоянного напряжения на варикапах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">
                <wp:simplePos x="0" y="0"/>
                <wp:positionH relativeFrom="column">
                  <wp:posOffset>24130</wp:posOffset>
                </wp:positionH>
                <wp:positionV relativeFrom="paragraph">
                  <wp:posOffset>873760</wp:posOffset>
                </wp:positionV>
                <wp:extent cx="6480175" cy="2343150"/>
                <wp:effectExtent l="0" t="0" r="0" b="0"/>
                <wp:wrapTopAndBottom/>
                <wp:docPr id="4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234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aption"/>
                              <w:suppressLineNumbers/>
                              <w:spacing w:before="120" w:after="120"/>
                              <w:rPr/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6480175" cy="1990090"/>
                                  <wp:effectExtent l="0" t="0" r="0" b="0"/>
                                  <wp:docPr id="5" name="Изображение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Изображение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80175" cy="1990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/>
                              <w:t xml:space="preserve">Таблица 1.1 - параметры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управляющего</w:t>
                            </w:r>
                            <w:r>
                              <w:rPr/>
                              <w:t xml:space="preserve"> сигнала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2" path="m0,0l-2147483645,0l-2147483645,-2147483646l0,-2147483646xe" fillcolor="white" stroked="f" o:allowincell="f" style="position:absolute;margin-left:1.9pt;margin-top:68.8pt;width:510.2pt;height:184.45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aption"/>
                        <w:suppressLineNumbers/>
                        <w:spacing w:before="120" w:after="120"/>
                        <w:rPr/>
                      </w:pPr>
                      <w:r>
                        <w:rPr/>
                        <w:drawing>
                          <wp:inline distT="0" distB="0" distL="0" distR="0">
                            <wp:extent cx="6480175" cy="1990090"/>
                            <wp:effectExtent l="0" t="0" r="0" b="0"/>
                            <wp:docPr id="6" name="Изображение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Изображение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80175" cy="1990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/>
                        <w:t xml:space="preserve">Таблица 1.1 - параметры </w:t>
                      </w:r>
                      <w:r>
                        <w:rPr>
                          <w:rFonts w:ascii="Times New Roman" w:hAnsi="Times New Roman"/>
                        </w:rPr>
                        <w:t>управляющего</w:t>
                      </w:r>
                      <w:r>
                        <w:rPr/>
                        <w:t xml:space="preserve"> сигнала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2.1 Результаты выполения предварительного задания: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0" allowOverlap="1" relativeHeight="7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400040" cy="1897380"/>
                <wp:effectExtent l="0" t="0" r="0" b="0"/>
                <wp:wrapSquare wrapText="largest"/>
                <wp:docPr id="7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89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aption"/>
                              <w:spacing w:before="120" w:after="12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График 1 - теоретическая статическая модуляционная характеристика</w:t>
                            </w:r>
                            <w:r>
                              <w:rPr/>
                              <w:drawing>
                                <wp:inline distT="0" distB="0" distL="0" distR="0">
                                  <wp:extent cx="5400040" cy="1897380"/>
                                  <wp:effectExtent l="0" t="0" r="0" b="0"/>
                                  <wp:docPr id="8" name="Объект1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6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3" path="m0,0l-2147483645,0l-2147483645,-2147483646l0,-2147483646xe" fillcolor="white" stroked="f" o:allowincell="f" style="position:absolute;margin-left:42.5pt;margin-top:0.05pt;width:425.15pt;height:149.35pt;mso-wrap-style:square;v-text-anchor:top;mso-position-horizontal:center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aption"/>
                        <w:spacing w:before="120" w:after="12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График 1 - теоретическая статическая модуляционная характеристика</w:t>
                      </w:r>
                      <w:r>
                        <w:rPr/>
                        <w:drawing>
                          <wp:inline distT="0" distB="0" distL="0" distR="0">
                            <wp:extent cx="5400040" cy="1897380"/>
                            <wp:effectExtent l="0" t="0" r="0" b="0"/>
                            <wp:docPr id="9" name="Объект1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7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mc:AlternateContent>
          <mc:Choice Requires="wps">
            <w:drawing>
              <wp:anchor behindDoc="0" distT="0" distB="0" distL="0" distR="0" simplePos="0" locked="0" layoutInCell="0" allowOverlap="1" relativeHeight="9">
                <wp:simplePos x="0" y="0"/>
                <wp:positionH relativeFrom="column">
                  <wp:posOffset>635</wp:posOffset>
                </wp:positionH>
                <wp:positionV relativeFrom="paragraph">
                  <wp:posOffset>33020</wp:posOffset>
                </wp:positionV>
                <wp:extent cx="6508115" cy="2397125"/>
                <wp:effectExtent l="0" t="0" r="0" b="0"/>
                <wp:wrapSquare wrapText="largest"/>
                <wp:docPr id="10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8080" cy="239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aption"/>
                              <w:spacing w:before="120" w:after="12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6508115" cy="2064385"/>
                                  <wp:effectExtent l="0" t="0" r="0" b="0"/>
                                  <wp:docPr id="11" name="Изображение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Изображение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08115" cy="2064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Таблица 2 - расчётные и экспериментальные данные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6" path="m0,0l-2147483645,0l-2147483645,-2147483646l0,-2147483646xe" fillcolor="white" stroked="f" o:allowincell="f" style="position:absolute;margin-left:0.05pt;margin-top:2.6pt;width:512.4pt;height:188.7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aption"/>
                        <w:spacing w:before="120" w:after="120"/>
                        <w:rPr>
                          <w:rFonts w:ascii="Times New Roman" w:hAnsi="Times New Roman"/>
                        </w:rPr>
                      </w:pPr>
                      <w:r>
                        <w:rPr/>
                        <w:drawing>
                          <wp:inline distT="0" distB="0" distL="0" distR="0">
                            <wp:extent cx="6508115" cy="2064385"/>
                            <wp:effectExtent l="0" t="0" r="0" b="0"/>
                            <wp:docPr id="12" name="Изображение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Изображение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08115" cy="2064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</w:rPr>
                        <w:t>Таблица 2 - расчётные и экспериментальные данные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</w:p>
    <w:p>
      <w:pPr>
        <w:pStyle w:val="Normal"/>
        <w:spacing w:before="0" w:after="1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mc:AlternateContent>
          <mc:Choice Requires="wps">
            <w:drawing>
              <wp:anchor behindDoc="0" distT="0" distB="0" distL="0" distR="0" simplePos="0" locked="0" layoutInCell="0" allowOverlap="1" relativeHeight="12">
                <wp:simplePos x="0" y="0"/>
                <wp:positionH relativeFrom="column">
                  <wp:posOffset>387350</wp:posOffset>
                </wp:positionH>
                <wp:positionV relativeFrom="paragraph">
                  <wp:posOffset>93345</wp:posOffset>
                </wp:positionV>
                <wp:extent cx="5533390" cy="3579495"/>
                <wp:effectExtent l="0" t="0" r="0" b="0"/>
                <wp:wrapTopAndBottom/>
                <wp:docPr id="13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560" cy="357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aption"/>
                              <w:spacing w:before="120" w:after="12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5533390" cy="3237865"/>
                                  <wp:effectExtent l="0" t="0" r="0" b="0"/>
                                  <wp:docPr id="14" name="Изображение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Изображение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33390" cy="32378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Диаграмма 1 - нормированная амплитудная спектральная диаграмма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4" path="m0,0l-2147483645,0l-2147483645,-2147483646l0,-2147483646xe" fillcolor="white" stroked="f" o:allowincell="f" style="position:absolute;margin-left:30.5pt;margin-top:7.35pt;width:435.65pt;height:281.8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aption"/>
                        <w:spacing w:before="120" w:after="120"/>
                        <w:rPr>
                          <w:rFonts w:ascii="Times New Roman" w:hAnsi="Times New Roman"/>
                        </w:rPr>
                      </w:pPr>
                      <w:r>
                        <w:rPr/>
                        <w:drawing>
                          <wp:inline distT="0" distB="0" distL="0" distR="0">
                            <wp:extent cx="5533390" cy="3237865"/>
                            <wp:effectExtent l="0" t="0" r="0" b="0"/>
                            <wp:docPr id="15" name="Изображение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Изображение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33390" cy="3237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</w:rPr>
                        <w:t>Диаграмма 1 - нормированная амплитудная спектральная диаграмма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0" w:after="1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mc:AlternateContent>
          <mc:Choice Requires="wps">
            <w:drawing>
              <wp:anchor behindDoc="0" distT="0" distB="0" distL="0" distR="0" simplePos="0" locked="0" layoutInCell="0" allowOverlap="1" relativeHeight="14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685665" cy="1006475"/>
                <wp:effectExtent l="0" t="0" r="0" b="0"/>
                <wp:wrapTopAndBottom/>
                <wp:docPr id="16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5760" cy="100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aption"/>
                              <w:spacing w:before="120" w:after="12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4685665" cy="475615"/>
                                  <wp:effectExtent l="0" t="0" r="0" b="0"/>
                                  <wp:docPr id="17" name="Изображение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Изображение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85665" cy="475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Таблица 3 - значения эффективной ширину спектра и оценка расчётной резонансной частоты контура модулятора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5" path="m0,0l-2147483645,0l-2147483645,-2147483646l0,-2147483646xe" fillcolor="white" stroked="f" o:allowincell="f" style="position:absolute;margin-left:70.6pt;margin-top:0.05pt;width:368.9pt;height:79.2pt;mso-wrap-style:square;v-text-anchor:top;mso-position-horizontal:center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aption"/>
                        <w:spacing w:before="120" w:after="120"/>
                        <w:rPr>
                          <w:rFonts w:ascii="Times New Roman" w:hAnsi="Times New Roman"/>
                        </w:rPr>
                      </w:pPr>
                      <w:r>
                        <w:rPr/>
                        <w:drawing>
                          <wp:inline distT="0" distB="0" distL="0" distR="0">
                            <wp:extent cx="4685665" cy="475615"/>
                            <wp:effectExtent l="0" t="0" r="0" b="0"/>
                            <wp:docPr id="18" name="Изображение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Изображение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85665" cy="475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</w:rPr>
                        <w:t>Таблица 3 - значения эффективной ширину спектра и оценка расчётной резонансной частоты контура модулятора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0" w:after="1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sectPr>
          <w:type w:val="nextPage"/>
          <w:pgSz w:w="11906" w:h="16838"/>
          <w:pgMar w:left="1134" w:right="567" w:gutter="0" w:header="0" w:top="567" w:footer="0" w:bottom="567"/>
          <w:pgBorders w:display="allPages" w:offsetFrom="text"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pgBorders>
          <w:pgNumType w:fmt="decimal"/>
          <w:formProt w:val="false"/>
          <w:textDirection w:val="lrTb"/>
          <w:docGrid w:type="default" w:linePitch="360" w:charSpace="0"/>
        </w:sectPr>
        <w:pStyle w:val="Normal"/>
        <w:spacing w:before="0" w:after="1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mc:AlternateContent>
          <mc:Choice Requires="wps">
            <w:drawing>
              <wp:anchor behindDoc="0" distT="0" distB="0" distL="0" distR="0" simplePos="0" locked="0" layoutInCell="0" allowOverlap="1" relativeHeight="17">
                <wp:simplePos x="0" y="0"/>
                <wp:positionH relativeFrom="column">
                  <wp:posOffset>734695</wp:posOffset>
                </wp:positionH>
                <wp:positionV relativeFrom="paragraph">
                  <wp:posOffset>171450</wp:posOffset>
                </wp:positionV>
                <wp:extent cx="4657090" cy="3197225"/>
                <wp:effectExtent l="0" t="0" r="0" b="0"/>
                <wp:wrapTopAndBottom/>
                <wp:docPr id="19" name="Врезка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6960" cy="319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aption"/>
                              <w:spacing w:before="120" w:after="12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4657090" cy="2666365"/>
                                  <wp:effectExtent l="0" t="0" r="0" b="0"/>
                                  <wp:docPr id="20" name="Изображение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Изображение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57090" cy="26663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График 2 - нормированная статическая детекторная характеристика частотного детектора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7" path="m0,0l-2147483645,0l-2147483645,-2147483646l0,-2147483646xe" fillcolor="white" stroked="f" o:allowincell="f" style="position:absolute;margin-left:57.85pt;margin-top:13.5pt;width:366.65pt;height:251.7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aption"/>
                        <w:spacing w:before="120" w:after="120"/>
                        <w:rPr>
                          <w:rFonts w:ascii="Times New Roman" w:hAnsi="Times New Roman"/>
                        </w:rPr>
                      </w:pPr>
                      <w:r>
                        <w:rPr/>
                        <w:drawing>
                          <wp:inline distT="0" distB="0" distL="0" distR="0">
                            <wp:extent cx="4657090" cy="2666365"/>
                            <wp:effectExtent l="0" t="0" r="0" b="0"/>
                            <wp:docPr id="21" name="Изображение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Изображение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57090" cy="26663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</w:rPr>
                        <w:t>График 2 - нормированная статическая детекторная характеристика частотного детектора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b/>
          <w:bCs/>
          <w:position w:val="0"/>
          <w:sz w:val="28"/>
          <w:sz w:val="28"/>
          <w:szCs w:val="28"/>
          <w:vertAlign w:val="baseline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ab/>
        <w:t>ЧД U</w:t>
      </w:r>
      <w:r>
        <w:rPr>
          <w:rFonts w:cs="Times New Roman" w:ascii="Times New Roman" w:hAnsi="Times New Roman"/>
          <w:b/>
          <w:bCs/>
          <w:sz w:val="28"/>
          <w:szCs w:val="28"/>
          <w:vertAlign w:val="superscript"/>
          <w:lang w:val="en-US"/>
        </w:rPr>
        <w:t>вых</w:t>
      </w:r>
      <w:r>
        <w:rPr>
          <w:rFonts w:cs="Times New Roman" w:ascii="Times New Roman" w:hAnsi="Times New Roman"/>
          <w:b/>
          <w:bCs/>
          <w:sz w:val="28"/>
          <w:szCs w:val="28"/>
          <w:vertAlign w:val="subscript"/>
          <w:lang w:val="en-US"/>
        </w:rPr>
        <w:t>у</w:t>
      </w:r>
      <w:r>
        <w:rPr>
          <w:rFonts w:cs="Times New Roman" w:ascii="Times New Roman" w:hAnsi="Times New Roman"/>
          <w:b/>
          <w:bCs/>
          <w:position w:val="0"/>
          <w:sz w:val="28"/>
          <w:sz w:val="28"/>
          <w:szCs w:val="28"/>
          <w:vertAlign w:val="baseline"/>
          <w:lang w:val="en-US"/>
        </w:rPr>
        <w:t>= 8,78 В</w:t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sectPr>
      <w:type w:val="nextPage"/>
      <w:pgSz w:w="11906" w:h="16838"/>
      <w:pgMar w:left="1090" w:right="567" w:gutter="0" w:header="0" w:top="1134" w:footer="0" w:bottom="567"/>
      <w:pgBorders w:display="allPages" w:offsetFrom="text"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gBorders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Cambria Math"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1068" w:hanging="36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8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8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8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8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8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8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8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8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0ad8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15782"/>
    <w:rPr>
      <w:color w:val="666666"/>
    </w:rPr>
  </w:style>
  <w:style w:type="character" w:styleId="HeaderChar" w:customStyle="1">
    <w:name w:val="Header Char"/>
    <w:basedOn w:val="DefaultParagraphFont"/>
    <w:uiPriority w:val="99"/>
    <w:qFormat/>
    <w:rsid w:val="00d97717"/>
    <w:rPr/>
  </w:style>
  <w:style w:type="character" w:styleId="FooterChar" w:customStyle="1">
    <w:name w:val="Footer Char"/>
    <w:basedOn w:val="DefaultParagraphFont"/>
    <w:uiPriority w:val="99"/>
    <w:qFormat/>
    <w:rsid w:val="00d97717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345309"/>
    <w:pPr>
      <w:spacing w:before="0" w:after="160"/>
      <w:ind w:start="720"/>
      <w:contextualSpacing/>
    </w:pPr>
    <w:rPr/>
  </w:style>
  <w:style w:type="paragraph" w:styleId="user2">
    <w:name w:val="Колонтитулы (user)"/>
    <w:basedOn w:val="Normal"/>
    <w:qFormat/>
    <w:pPr/>
    <w:rPr/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97717"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97717"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user3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paragraph" w:styleId="Style17">
    <w:name w:val="Содержимое врезки"/>
    <w:basedOn w:val="Normal"/>
    <w:qFormat/>
    <w:pPr/>
    <w:rPr/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d9025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image" Target="media/image2.png"/><Relationship Id="rId5" Type="http://schemas.openxmlformats.org/officeDocument/2006/relationships/image" Target="media/image2.png"/><Relationship Id="rId6" Type="http://schemas.openxmlformats.org/officeDocument/2006/relationships/chart" Target="charts/chart1.xml"/><Relationship Id="rId7" Type="http://schemas.openxmlformats.org/officeDocument/2006/relationships/chart" Target="charts/chart2.xml"/><Relationship Id="rId8" Type="http://schemas.openxmlformats.org/officeDocument/2006/relationships/image" Target="media/image3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6.png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c:chart>
    <c:autoTitleDeleted val="1"/>
    <c:plotArea>
      <c:scatterChart>
        <c:scatterStyle val="lineMarker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Fг(E0)</c:v>
                </c:pt>
              </c:strCache>
            </c:strRef>
          </c:tx>
          <c:spPr>
            <a:solidFill>
              <a:srgbClr val="ffd320"/>
            </a:solidFill>
            <a:ln w="28800">
              <a:solidFill>
                <a:srgbClr val="ffd320"/>
              </a:solidFill>
              <a:round/>
            </a:ln>
          </c:spPr>
          <c:marker>
            <c:symbol val="triangle"/>
            <c:size val="8"/>
            <c:spPr>
              <a:solidFill>
                <a:srgbClr val="ffd320"/>
              </a:solidFill>
            </c:spPr>
          </c:marker>
          <c:dLbls>
            <c:txPr>
              <a:bodyPr wrap="none"/>
              <a:lstStyle/>
              <a:p>
                <a:pPr>
                  <a:defRPr b="0" sz="1000" strike="noStrike" u="none">
                    <a:solidFill>
                      <a:srgbClr val="000000"/>
                    </a:solidFill>
                    <a:uFillTx/>
                    <a:latin typeface="Arial"/>
                  </a:defRPr>
                </a:pPr>
              </a:p>
            </c:txPr>
            <c:dLblPos val="r"/>
            <c:showLegendKey val="0"/>
            <c:showVal val="0"/>
            <c:showCatName val="0"/>
            <c:showSerName val="0"/>
            <c:showPercent val="0"/>
            <c:separator> </c:separator>
            <c:showLeaderLines val="1"/>
            <c:leaderLines>
              <c:spPr>
                <a:ln w="28800">
                  <a:solidFill>
                    <a:srgbClr val="000000"/>
                  </a:solidFill>
                </a:ln>
              </c:spPr>
            </c:leaderLines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xVal>
            <c:numRef>
              <c:f>1</c:f>
              <c:numCache>
                <c:formatCode>General</c:formatCode>
                <c:ptCount val="19"/>
                <c:pt idx="0">
                  <c:v>1</c:v>
                </c:pt>
                <c:pt idx="1">
                  <c:v>1.5</c:v>
                </c:pt>
                <c:pt idx="2">
                  <c:v>2</c:v>
                </c:pt>
                <c:pt idx="3">
                  <c:v>2.5</c:v>
                </c:pt>
                <c:pt idx="4">
                  <c:v>3</c:v>
                </c:pt>
                <c:pt idx="5">
                  <c:v>3.5</c:v>
                </c:pt>
                <c:pt idx="6">
                  <c:v>4</c:v>
                </c:pt>
                <c:pt idx="7">
                  <c:v>4.5</c:v>
                </c:pt>
                <c:pt idx="8">
                  <c:v>5</c:v>
                </c:pt>
                <c:pt idx="9">
                  <c:v>5.5</c:v>
                </c:pt>
                <c:pt idx="10">
                  <c:v>6</c:v>
                </c:pt>
                <c:pt idx="11">
                  <c:v>6.5</c:v>
                </c:pt>
                <c:pt idx="12">
                  <c:v>7</c:v>
                </c:pt>
                <c:pt idx="13">
                  <c:v>7.5</c:v>
                </c:pt>
                <c:pt idx="14">
                  <c:v>8</c:v>
                </c:pt>
                <c:pt idx="15">
                  <c:v>8.5</c:v>
                </c:pt>
                <c:pt idx="16">
                  <c:v>9</c:v>
                </c:pt>
                <c:pt idx="17">
                  <c:v>9.5</c:v>
                </c:pt>
                <c:pt idx="18">
                  <c:v>10</c:v>
                </c:pt>
              </c:numCache>
            </c:numRef>
          </c:xVal>
          <c:yVal>
            <c:numRef>
              <c:f>0</c:f>
              <c:numCache>
                <c:formatCode>General</c:formatCode>
                <c:ptCount val="19"/>
                <c:pt idx="0">
                  <c:v>1.17183652115309</c:v>
                </c:pt>
                <c:pt idx="1">
                  <c:v>1.29178161683378</c:v>
                </c:pt>
                <c:pt idx="2">
                  <c:v>1.38222295178049</c:v>
                </c:pt>
                <c:pt idx="3">
                  <c:v>1.44654640657477</c:v>
                </c:pt>
                <c:pt idx="4">
                  <c:v>1.49477780164747</c:v>
                </c:pt>
                <c:pt idx="5">
                  <c:v>1.54817945812954</c:v>
                </c:pt>
                <c:pt idx="6">
                  <c:v>1.59221229680825</c:v>
                </c:pt>
                <c:pt idx="7">
                  <c:v>1.62374431424153</c:v>
                </c:pt>
                <c:pt idx="8">
                  <c:v>1.65722710109881</c:v>
                </c:pt>
                <c:pt idx="9">
                  <c:v>1.6928704713129</c:v>
                </c:pt>
                <c:pt idx="10">
                  <c:v>1.71157679025047</c:v>
                </c:pt>
                <c:pt idx="11">
                  <c:v>1.73091725487322</c:v>
                </c:pt>
                <c:pt idx="12">
                  <c:v>1.7509285237798</c:v>
                </c:pt>
                <c:pt idx="13">
                  <c:v>1.77165029268238</c:v>
                </c:pt>
                <c:pt idx="14">
                  <c:v>1.79312562577048</c:v>
                </c:pt>
                <c:pt idx="15">
                  <c:v>1.81540133236142</c:v>
                </c:pt>
                <c:pt idx="16">
                  <c:v>1.83852839633855</c:v>
                </c:pt>
                <c:pt idx="17">
                  <c:v>1.86256246734937</c:v>
                </c:pt>
                <c:pt idx="18">
                  <c:v>1.86256246734937</c:v>
                </c:pt>
              </c:numCache>
            </c:numRef>
          </c:yVal>
          <c:smooth val="0"/>
        </c:ser>
        <c:axId val="17816600"/>
        <c:axId val="83279333"/>
      </c:scatterChart>
      <c:valAx>
        <c:axId val="17816600"/>
        <c:scaling>
          <c:orientation val="minMax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b="0" sz="1000" strike="noStrike" u="none">
                <a:solidFill>
                  <a:srgbClr val="000000"/>
                </a:solidFill>
                <a:uFillTx/>
                <a:latin typeface="Arial"/>
              </a:defRPr>
            </a:pPr>
          </a:p>
        </c:txPr>
        <c:crossAx val="83279333"/>
        <c:crosses val="autoZero"/>
        <c:crossBetween val="midCat"/>
      </c:valAx>
      <c:valAx>
        <c:axId val="83279333"/>
        <c:scaling>
          <c:orientation val="minMax"/>
        </c:scaling>
        <c:delete val="0"/>
        <c:axPos val="l"/>
        <c:majorGridlines>
          <c:spPr>
            <a:ln w="0">
              <a:solidFill>
                <a:srgbClr val="b3b3b3"/>
              </a:solidFill>
            </a:ln>
          </c:spPr>
        </c:majorGridlines>
        <c:numFmt formatCode="0.000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b="0" sz="1000" strike="noStrike" u="none">
                <a:solidFill>
                  <a:srgbClr val="000000"/>
                </a:solidFill>
                <a:uFillTx/>
                <a:latin typeface="Arial"/>
              </a:defRPr>
            </a:pPr>
          </a:p>
        </c:txPr>
        <c:crossAx val="17816600"/>
        <c:crosses val="autoZero"/>
        <c:crossBetween val="midCat"/>
      </c:valAx>
      <c:spPr>
        <a:noFill/>
        <a:ln w="0">
          <a:solidFill>
            <a:srgbClr val="b3b3b3"/>
          </a:solidFill>
        </a:ln>
      </c:spPr>
    </c:plotArea>
    <c:legend>
      <c:legendPos val="r"/>
      <c:overlay val="0"/>
      <c:spPr>
        <a:noFill/>
        <a:ln w="0">
          <a:noFill/>
        </a:ln>
      </c:spPr>
      <c:txPr>
        <a:bodyPr/>
        <a:lstStyle/>
        <a:p>
          <a:pPr>
            <a:defRPr b="0" sz="1000" strike="noStrike" u="none">
              <a:solidFill>
                <a:srgbClr val="000000"/>
              </a:solidFill>
              <a:uFillTx/>
              <a:latin typeface="Arial"/>
            </a:defRPr>
          </a:pPr>
        </a:p>
      </c:txPr>
    </c:legend>
    <c:plotVisOnly val="1"/>
    <c:dispBlanksAs val="span"/>
  </c:chart>
  <c:spPr>
    <a:solidFill>
      <a:srgbClr val="ffffff"/>
    </a:solidFill>
    <a:ln w="0">
      <a:noFill/>
    </a:ln>
  </c:spPr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c:chart>
    <c:autoTitleDeleted val="1"/>
    <c:plotArea>
      <c:scatterChart>
        <c:scatterStyle val="lineMarker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Fг(E0)</c:v>
                </c:pt>
              </c:strCache>
            </c:strRef>
          </c:tx>
          <c:spPr>
            <a:solidFill>
              <a:srgbClr val="ffd320"/>
            </a:solidFill>
            <a:ln w="28800">
              <a:solidFill>
                <a:srgbClr val="ffd320"/>
              </a:solidFill>
              <a:round/>
            </a:ln>
          </c:spPr>
          <c:marker>
            <c:symbol val="triangle"/>
            <c:size val="8"/>
            <c:spPr>
              <a:solidFill>
                <a:srgbClr val="ffd320"/>
              </a:solidFill>
            </c:spPr>
          </c:marker>
          <c:dLbls>
            <c:txPr>
              <a:bodyPr wrap="none"/>
              <a:lstStyle/>
              <a:p>
                <a:pPr>
                  <a:defRPr b="0" sz="1000" strike="noStrike" u="none">
                    <a:solidFill>
                      <a:srgbClr val="000000"/>
                    </a:solidFill>
                    <a:uFillTx/>
                    <a:latin typeface="Arial"/>
                  </a:defRPr>
                </a:pPr>
              </a:p>
            </c:txPr>
            <c:dLblPos val="r"/>
            <c:showLegendKey val="0"/>
            <c:showVal val="0"/>
            <c:showCatName val="0"/>
            <c:showSerName val="0"/>
            <c:showPercent val="0"/>
            <c:separator> </c:separator>
            <c:showLeaderLines val="1"/>
            <c:leaderLines>
              <c:spPr>
                <a:ln w="28800">
                  <a:solidFill>
                    <a:srgbClr val="000000"/>
                  </a:solidFill>
                </a:ln>
              </c:spPr>
            </c:leaderLines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xVal>
            <c:numRef>
              <c:f>1</c:f>
              <c:numCache>
                <c:formatCode>General</c:formatCode>
                <c:ptCount val="19"/>
                <c:pt idx="0">
                  <c:v>1</c:v>
                </c:pt>
                <c:pt idx="1">
                  <c:v>1.5</c:v>
                </c:pt>
                <c:pt idx="2">
                  <c:v>2</c:v>
                </c:pt>
                <c:pt idx="3">
                  <c:v>2.5</c:v>
                </c:pt>
                <c:pt idx="4">
                  <c:v>3</c:v>
                </c:pt>
                <c:pt idx="5">
                  <c:v>3.5</c:v>
                </c:pt>
                <c:pt idx="6">
                  <c:v>4</c:v>
                </c:pt>
                <c:pt idx="7">
                  <c:v>4.5</c:v>
                </c:pt>
                <c:pt idx="8">
                  <c:v>5</c:v>
                </c:pt>
                <c:pt idx="9">
                  <c:v>5.5</c:v>
                </c:pt>
                <c:pt idx="10">
                  <c:v>6</c:v>
                </c:pt>
                <c:pt idx="11">
                  <c:v>6.5</c:v>
                </c:pt>
                <c:pt idx="12">
                  <c:v>7</c:v>
                </c:pt>
                <c:pt idx="13">
                  <c:v>7.5</c:v>
                </c:pt>
                <c:pt idx="14">
                  <c:v>8</c:v>
                </c:pt>
                <c:pt idx="15">
                  <c:v>8.5</c:v>
                </c:pt>
                <c:pt idx="16">
                  <c:v>9</c:v>
                </c:pt>
                <c:pt idx="17">
                  <c:v>9.5</c:v>
                </c:pt>
                <c:pt idx="18">
                  <c:v>10</c:v>
                </c:pt>
              </c:numCache>
            </c:numRef>
          </c:xVal>
          <c:yVal>
            <c:numRef>
              <c:f>0</c:f>
              <c:numCache>
                <c:formatCode>General</c:formatCode>
                <c:ptCount val="19"/>
                <c:pt idx="0">
                  <c:v>1.17183652115309</c:v>
                </c:pt>
                <c:pt idx="1">
                  <c:v>1.29178161683378</c:v>
                </c:pt>
                <c:pt idx="2">
                  <c:v>1.38222295178049</c:v>
                </c:pt>
                <c:pt idx="3">
                  <c:v>1.44654640657477</c:v>
                </c:pt>
                <c:pt idx="4">
                  <c:v>1.49477780164747</c:v>
                </c:pt>
                <c:pt idx="5">
                  <c:v>1.54817945812954</c:v>
                </c:pt>
                <c:pt idx="6">
                  <c:v>1.59221229680825</c:v>
                </c:pt>
                <c:pt idx="7">
                  <c:v>1.62374431424153</c:v>
                </c:pt>
                <c:pt idx="8">
                  <c:v>1.65722710109881</c:v>
                </c:pt>
                <c:pt idx="9">
                  <c:v>1.6928704713129</c:v>
                </c:pt>
                <c:pt idx="10">
                  <c:v>1.71157679025047</c:v>
                </c:pt>
                <c:pt idx="11">
                  <c:v>1.73091725487322</c:v>
                </c:pt>
                <c:pt idx="12">
                  <c:v>1.7509285237798</c:v>
                </c:pt>
                <c:pt idx="13">
                  <c:v>1.77165029268238</c:v>
                </c:pt>
                <c:pt idx="14">
                  <c:v>1.79312562577048</c:v>
                </c:pt>
                <c:pt idx="15">
                  <c:v>1.81540133236142</c:v>
                </c:pt>
                <c:pt idx="16">
                  <c:v>1.83852839633855</c:v>
                </c:pt>
                <c:pt idx="17">
                  <c:v>1.86256246734937</c:v>
                </c:pt>
                <c:pt idx="18">
                  <c:v>1.86256246734937</c:v>
                </c:pt>
              </c:numCache>
            </c:numRef>
          </c:yVal>
          <c:smooth val="0"/>
        </c:ser>
        <c:axId val="61808605"/>
        <c:axId val="62168694"/>
      </c:scatterChart>
      <c:valAx>
        <c:axId val="61808605"/>
        <c:scaling>
          <c:orientation val="minMax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b="0" sz="1000" strike="noStrike" u="none">
                <a:solidFill>
                  <a:srgbClr val="000000"/>
                </a:solidFill>
                <a:uFillTx/>
                <a:latin typeface="Arial"/>
              </a:defRPr>
            </a:pPr>
          </a:p>
        </c:txPr>
        <c:crossAx val="62168694"/>
        <c:crosses val="autoZero"/>
        <c:crossBetween val="midCat"/>
      </c:valAx>
      <c:valAx>
        <c:axId val="62168694"/>
        <c:scaling>
          <c:orientation val="minMax"/>
        </c:scaling>
        <c:delete val="0"/>
        <c:axPos val="l"/>
        <c:majorGridlines>
          <c:spPr>
            <a:ln w="0">
              <a:solidFill>
                <a:srgbClr val="b3b3b3"/>
              </a:solidFill>
            </a:ln>
          </c:spPr>
        </c:majorGridlines>
        <c:numFmt formatCode="0.000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b="0" sz="1000" strike="noStrike" u="none">
                <a:solidFill>
                  <a:srgbClr val="000000"/>
                </a:solidFill>
                <a:uFillTx/>
                <a:latin typeface="Arial"/>
              </a:defRPr>
            </a:pPr>
          </a:p>
        </c:txPr>
        <c:crossAx val="61808605"/>
        <c:crosses val="autoZero"/>
        <c:crossBetween val="midCat"/>
      </c:valAx>
      <c:spPr>
        <a:noFill/>
        <a:ln w="0">
          <a:solidFill>
            <a:srgbClr val="b3b3b3"/>
          </a:solidFill>
        </a:ln>
      </c:spPr>
    </c:plotArea>
    <c:legend>
      <c:legendPos val="r"/>
      <c:overlay val="0"/>
      <c:spPr>
        <a:noFill/>
        <a:ln w="0">
          <a:noFill/>
        </a:ln>
      </c:spPr>
      <c:txPr>
        <a:bodyPr/>
        <a:lstStyle/>
        <a:p>
          <a:pPr>
            <a:defRPr b="0" sz="1000" strike="noStrike" u="none">
              <a:solidFill>
                <a:srgbClr val="000000"/>
              </a:solidFill>
              <a:uFillTx/>
              <a:latin typeface="Arial"/>
            </a:defRPr>
          </a:pPr>
        </a:p>
      </c:txPr>
    </c:legend>
    <c:plotVisOnly val="1"/>
    <c:dispBlanksAs val="span"/>
  </c:chart>
  <c:spPr>
    <a:solidFill>
      <a:srgbClr val="ffffff"/>
    </a:solidFill>
    <a:ln w="0">
      <a:noFill/>
    </a:ln>
  </c:spPr>
</c:chartSpace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517A-543B-4BB1-B063-D8E384C1C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Application>LibreOffice/25.8.3.2$Linux_X86_64 LibreOffice_project/580$Build-2</Application>
  <AppVersion>15.0000</AppVersion>
  <Pages>3</Pages>
  <Words>144</Words>
  <Characters>1037</Characters>
  <CharactersWithSpaces>1279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2023-09-26T11:20:00Z</dcterms:created>
  <dc:creator>PC</dc:creator>
  <dc:description/>
  <dc:language>ru-RU</dc:language>
  <cp:lastModifiedBy/>
  <dcterms:modified xsi:type="dcterms:W3CDTF">2026-03-29T14:09:33Z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