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charts/chart1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2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>
      <w:pPr>
        <w:pStyle w:val="Normal"/>
        <w:tabs>
          <w:tab w:val="clear" w:pos="708"/>
          <w:tab w:val="center" w:pos="5233" w:leader="none"/>
          <w:tab w:val="right" w:pos="1046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«Новосибирский государственный технический университет»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 w:start="35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Кафедра ТОР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Лаборатория №  ____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Лабораторная работа № 3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ТИПОВЫЕ ФИЛЬТРЫ И ИХ ХАРАКТЕРИСТИКИ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Факультет:                            РЭФ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Группа:                                  РЭ3-31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Студент:      </w:t>
        <w:tab/>
        <w:tab/>
        <w:t xml:space="preserve">       </w:t>
      </w:r>
      <w:r>
        <w:rPr>
          <w:rFonts w:cs="Times New Roman" w:ascii="Times New Roman" w:hAnsi="Times New Roman"/>
          <w:sz w:val="28"/>
          <w:szCs w:val="28"/>
        </w:rPr>
        <w:t>Иванов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Преподаватель:                     Зотов Л. Г.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 выполнения работы:    _____________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Отметка о защите:                 _____________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Новосибирск, 2026г.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Цель: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Исследование влияния положительной и отрицательной обратной связи на характеристики линейных цепей.</w:t>
      </w:r>
    </w:p>
    <w:p>
      <w:pPr>
        <w:pStyle w:val="Normal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2. Предварительное задание: </w:t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Предварительное задание выполняется для стенда №3 исходя из порядкового номера студента по списку учебной группы. Исходные данные:</w:t>
      </w:r>
    </w:p>
    <w:p>
      <w:pPr>
        <w:pStyle w:val="Normal"/>
        <w:rPr>
          <w:rFonts w:ascii="Cambria Math" w:hAnsi="Cambria Math" w:cs="Cambria Math"/>
          <w:sz w:val="28"/>
          <w:szCs w:val="28"/>
        </w:rPr>
      </w:pPr>
      <w:r>
        <w:rPr>
          <w:rFonts w:cs="Cambria Math" w:ascii="Cambria Math" w:hAnsi="Cambria Math"/>
          <w:sz w:val="28"/>
          <w:szCs w:val="28"/>
        </w:rPr>
        <w:t>𝐶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z w:val="28"/>
          <w:szCs w:val="28"/>
        </w:rPr>
        <w:t xml:space="preserve">= 8.32 нФ, </w:t>
      </w:r>
      <w:r>
        <w:rPr>
          <w:rFonts w:cs="Cambria Math" w:ascii="Cambria Math" w:hAnsi="Cambria Math"/>
          <w:sz w:val="28"/>
          <w:szCs w:val="28"/>
        </w:rPr>
        <w:t>𝐿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L</w:t>
      </w:r>
      <w:r>
        <w:rPr>
          <w:rFonts w:cs="Times New Roman" w:ascii="Times New Roman" w:hAnsi="Times New Roman"/>
          <w:sz w:val="28"/>
          <w:szCs w:val="28"/>
        </w:rPr>
        <w:t xml:space="preserve">= 1.12 мГн, </w:t>
      </w:r>
      <w:r>
        <w:rPr>
          <w:rFonts w:cs="Times New Roman" w:ascii="Times New Roman" w:hAnsi="Times New Roman"/>
          <w:sz w:val="28"/>
          <w:szCs w:val="28"/>
        </w:rPr>
        <w:t>R</w:t>
      </w:r>
      <w:r>
        <w:rPr>
          <w:rFonts w:cs="Times New Roman" w:ascii="Times New Roman" w:hAnsi="Times New Roman"/>
          <w:sz w:val="28"/>
          <w:szCs w:val="28"/>
          <w:vertAlign w:val="subscript"/>
        </w:rPr>
        <w:t>п</w:t>
      </w:r>
      <w:r>
        <w:rPr>
          <w:rFonts w:cs="Times New Roman" w:ascii="Times New Roman" w:hAnsi="Times New Roman"/>
          <w:sz w:val="28"/>
          <w:szCs w:val="28"/>
        </w:rPr>
        <w:t xml:space="preserve"> = 28 Ом, </w:t>
      </w:r>
      <w:r>
        <w:rPr>
          <w:rFonts w:cs="Times New Roman" w:ascii="Times New Roman" w:hAnsi="Times New Roman"/>
          <w:sz w:val="28"/>
          <w:szCs w:val="28"/>
          <w:lang w:val="en-US"/>
        </w:rPr>
        <w:t>U</w:t>
      </w:r>
      <w:r>
        <w:rPr>
          <w:rFonts w:cs="Times New Roman"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cs="Times New Roman" w:ascii="Times New Roman" w:hAnsi="Times New Roman"/>
          <w:sz w:val="28"/>
          <w:szCs w:val="28"/>
        </w:rPr>
        <w:t xml:space="preserve">= –0.6 В, </w:t>
      </w:r>
      <w:r>
        <w:rPr>
          <w:rFonts w:cs="Times New Roman" w:ascii="Times New Roman" w:hAnsi="Times New Roman"/>
          <w:sz w:val="28"/>
          <w:szCs w:val="28"/>
          <w:lang w:val="en-US"/>
        </w:rPr>
        <w:t>k</w:t>
      </w:r>
      <w:r>
        <w:rPr>
          <w:rFonts w:cs="Times New Roman" w:ascii="Times New Roman" w:hAnsi="Times New Roman"/>
          <w:sz w:val="28"/>
          <w:szCs w:val="28"/>
        </w:rPr>
        <w:t xml:space="preserve"> = 0.56.</w:t>
      </w:r>
    </w:p>
    <w:p>
      <w:pPr>
        <w:pStyle w:val="Normal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 xml:space="preserve">2.1 </w:t>
      </w:r>
      <w:r>
        <w:rPr>
          <w:rFonts w:cs="Times New Roman" w:ascii="Times New Roman" w:hAnsi="Times New Roman"/>
          <w:b/>
          <w:bCs/>
          <w:sz w:val="28"/>
          <w:szCs w:val="28"/>
        </w:rPr>
        <w:t>Теоретические расчеты</w:t>
      </w: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:</w:t>
      </w:r>
    </w:p>
    <w:tbl>
      <w:tblPr>
        <w:tblStyle w:val="TableGrid"/>
        <w:tblW w:w="9726" w:type="dxa"/>
        <w:jc w:val="start"/>
        <w:tblInd w:w="27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744"/>
        <w:gridCol w:w="814"/>
        <w:gridCol w:w="841"/>
        <w:gridCol w:w="711"/>
        <w:gridCol w:w="870"/>
        <w:gridCol w:w="868"/>
        <w:gridCol w:w="919"/>
        <w:gridCol w:w="601"/>
        <w:gridCol w:w="821"/>
        <w:gridCol w:w="774"/>
        <w:gridCol w:w="763"/>
      </w:tblGrid>
      <w:tr>
        <w:trPr>
          <w:trHeight w:val="645" w:hRule="atLeast"/>
        </w:trPr>
        <w:tc>
          <w:tcPr>
            <w:tcW w:w="1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Режим работы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усилителя</w:t>
            </w:r>
          </w:p>
        </w:tc>
        <w:tc>
          <w:tcPr>
            <w:tcW w:w="8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f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bscript"/>
                <w:lang w:val="ru-RU" w:eastAsia="en-US" w:bidi="ar-SA"/>
              </w:rPr>
              <w:t>p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кГц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R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ru-RU" w:eastAsia="en-US" w:bidi="ar-SA"/>
              </w:rPr>
              <w:t>ос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bscript"/>
                <w:lang w:val="ru-RU" w:eastAsia="en-US" w:bidi="ar-SA"/>
              </w:rPr>
              <w:t>вн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Ом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Q</w:t>
            </w:r>
          </w:p>
        </w:tc>
        <w:tc>
          <w:tcPr>
            <w:tcW w:w="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2∆f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bscript"/>
                <w:lang w:val="ru-RU" w:eastAsia="en-US" w:bidi="ar-SA"/>
              </w:rPr>
              <w:t>0.7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кГц</w:t>
            </w:r>
          </w:p>
        </w:tc>
        <w:tc>
          <w:tcPr>
            <w:tcW w:w="8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Z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bscript"/>
                <w:lang w:val="ru-RU" w:eastAsia="en-US" w:bidi="ar-SA"/>
              </w:rPr>
              <w:t>p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кОм</w:t>
            </w:r>
          </w:p>
        </w:tc>
        <w:tc>
          <w:tcPr>
            <w:tcW w:w="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bscript"/>
                <w:lang w:val="ru-RU" w:eastAsia="en-US" w:bidi="ar-SA"/>
              </w:rPr>
              <w:t>i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мА/В</w:t>
            </w:r>
          </w:p>
        </w:tc>
        <w:tc>
          <w:tcPr>
            <w:tcW w:w="6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K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bscript"/>
                <w:lang w:val="ru-RU" w:eastAsia="en-US" w:bidi="ar-SA"/>
              </w:rPr>
              <w:t>p</w:t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β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bscript"/>
                <w:lang w:val="ru-RU" w:eastAsia="en-US" w:bidi="ar-SA"/>
              </w:rPr>
              <w:t>кр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τ,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мс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t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bscript"/>
                <w:lang w:val="ru-RU" w:eastAsia="en-US" w:bidi="ar-SA"/>
              </w:rPr>
              <w:t>y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мс</w:t>
            </w:r>
          </w:p>
        </w:tc>
      </w:tr>
      <w:tr>
        <w:trPr>
          <w:trHeight w:val="535" w:hRule="atLeast"/>
        </w:trPr>
        <w:tc>
          <w:tcPr>
            <w:tcW w:w="1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Без ОС (теория)</w:t>
            </w:r>
          </w:p>
        </w:tc>
        <w:tc>
          <w:tcPr>
            <w:tcW w:w="8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52.16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13.10</w:t>
            </w:r>
          </w:p>
        </w:tc>
        <w:tc>
          <w:tcPr>
            <w:tcW w:w="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3.98</w:t>
            </w:r>
          </w:p>
        </w:tc>
        <w:tc>
          <w:tcPr>
            <w:tcW w:w="8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4.81</w:t>
            </w:r>
          </w:p>
        </w:tc>
        <w:tc>
          <w:tcPr>
            <w:tcW w:w="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7.15</w:t>
            </w:r>
          </w:p>
        </w:tc>
        <w:tc>
          <w:tcPr>
            <w:tcW w:w="6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34.4</w:t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0.0291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80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240</w:t>
            </w:r>
          </w:p>
        </w:tc>
      </w:tr>
      <w:tr>
        <w:trPr>
          <w:trHeight w:val="517" w:hRule="atLeast"/>
        </w:trPr>
        <w:tc>
          <w:tcPr>
            <w:tcW w:w="1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Эксперимент</w:t>
            </w:r>
          </w:p>
        </w:tc>
        <w:tc>
          <w:tcPr>
            <w:tcW w:w="8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6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35" w:hRule="atLeast"/>
        </w:trPr>
        <w:tc>
          <w:tcPr>
            <w:tcW w:w="1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ПОС (теория)</w:t>
            </w:r>
          </w:p>
        </w:tc>
        <w:tc>
          <w:tcPr>
            <w:tcW w:w="8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52.16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−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15.65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29.8</w:t>
            </w:r>
          </w:p>
        </w:tc>
        <w:tc>
          <w:tcPr>
            <w:tcW w:w="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1.75</w:t>
            </w:r>
          </w:p>
        </w:tc>
        <w:tc>
          <w:tcPr>
            <w:tcW w:w="8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10.93</w:t>
            </w:r>
          </w:p>
        </w:tc>
        <w:tc>
          <w:tcPr>
            <w:tcW w:w="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7.15</w:t>
            </w:r>
          </w:p>
        </w:tc>
        <w:tc>
          <w:tcPr>
            <w:tcW w:w="6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77.4</w:t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0.0129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182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569</w:t>
            </w:r>
          </w:p>
        </w:tc>
      </w:tr>
      <w:tr>
        <w:trPr>
          <w:trHeight w:val="535" w:hRule="atLeast"/>
        </w:trPr>
        <w:tc>
          <w:tcPr>
            <w:tcW w:w="1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Эксперимент</w:t>
            </w:r>
          </w:p>
        </w:tc>
        <w:tc>
          <w:tcPr>
            <w:tcW w:w="8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6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35" w:hRule="atLeast"/>
        </w:trPr>
        <w:tc>
          <w:tcPr>
            <w:tcW w:w="1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 ООС (теория)</w:t>
            </w:r>
          </w:p>
        </w:tc>
        <w:tc>
          <w:tcPr>
            <w:tcW w:w="8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52.16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+15.65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8.39</w:t>
            </w:r>
          </w:p>
        </w:tc>
        <w:tc>
          <w:tcPr>
            <w:tcW w:w="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6.22</w:t>
            </w:r>
          </w:p>
        </w:tc>
        <w:tc>
          <w:tcPr>
            <w:tcW w:w="8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3.08</w:t>
            </w:r>
          </w:p>
        </w:tc>
        <w:tc>
          <w:tcPr>
            <w:tcW w:w="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7.15</w:t>
            </w:r>
          </w:p>
        </w:tc>
        <w:tc>
          <w:tcPr>
            <w:tcW w:w="6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21.9</w:t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0.0457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51.2</w:t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161</w:t>
            </w:r>
          </w:p>
        </w:tc>
      </w:tr>
      <w:tr>
        <w:trPr>
          <w:trHeight w:val="535" w:hRule="atLeast"/>
        </w:trPr>
        <w:tc>
          <w:tcPr>
            <w:tcW w:w="1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Эксперимент</w:t>
            </w:r>
          </w:p>
        </w:tc>
        <w:tc>
          <w:tcPr>
            <w:tcW w:w="8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6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</w:r>
    </w:p>
    <w:p>
      <w:pPr>
        <w:sectPr>
          <w:type w:val="nextPage"/>
          <w:pgSz w:w="11906" w:h="16838"/>
          <w:pgMar w:left="1134" w:right="567" w:gutter="0" w:header="0" w:top="567" w:footer="0" w:bottom="567"/>
          <w:pgBorders w:display="allPages" w:offsetFrom="text">
            <w:top w:val="single" w:sz="4" w:space="1" w:color="000000"/>
            <w:left w:val="single" w:sz="4" w:space="4" w:color="000000"/>
            <w:bottom w:val="single" w:sz="4" w:space="1" w:color="000000"/>
            <w:right w:val="single" w:sz="4" w:space="4" w:color="000000"/>
          </w:pgBorders>
          <w:pgNumType w:fmt="decimal"/>
          <w:formProt w:val="false"/>
          <w:textDirection w:val="lrTb"/>
          <w:docGrid w:type="default" w:linePitch="360" w:charSpace="0"/>
        </w:sectPr>
        <w:pStyle w:val="Normal"/>
        <w:spacing w:before="0" w:after="1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drawing>
          <wp:anchor behindDoc="0" distT="0" distB="0" distL="0" distR="0" simplePos="0" locked="0" layoutInCell="1" allowOverlap="1" relativeHeight="2">
            <wp:simplePos x="0" y="0"/>
            <wp:positionH relativeFrom="margin">
              <wp:posOffset>-57785</wp:posOffset>
            </wp:positionH>
            <wp:positionV relativeFrom="paragraph">
              <wp:posOffset>635</wp:posOffset>
            </wp:positionV>
            <wp:extent cx="10097770" cy="6471920"/>
            <wp:effectExtent l="0" t="0" r="0" b="0"/>
            <wp:wrapTopAndBottom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anchor>
        </w:drawing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drawing>
          <wp:anchor behindDoc="0" distT="0" distB="0" distL="0" distR="0" simplePos="0" locked="0" layoutInCell="1" allowOverlap="1" relativeHeight="3">
            <wp:simplePos x="0" y="0"/>
            <wp:positionH relativeFrom="margin">
              <wp:posOffset>-58420</wp:posOffset>
            </wp:positionH>
            <wp:positionV relativeFrom="paragraph">
              <wp:posOffset>635</wp:posOffset>
            </wp:positionV>
            <wp:extent cx="10089515" cy="6487795"/>
            <wp:effectExtent l="0" t="0" r="0" b="0"/>
            <wp:wrapTopAndBottom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anchor>
        </w:drawing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drawing>
          <wp:anchor behindDoc="0" distT="0" distB="0" distL="0" distR="0" simplePos="0" locked="0" layoutInCell="1" allowOverlap="1" relativeHeight="4">
            <wp:simplePos x="0" y="0"/>
            <wp:positionH relativeFrom="margin">
              <wp:posOffset>-50165</wp:posOffset>
            </wp:positionH>
            <wp:positionV relativeFrom="paragraph">
              <wp:posOffset>635</wp:posOffset>
            </wp:positionV>
            <wp:extent cx="10081895" cy="6646545"/>
            <wp:effectExtent l="0" t="0" r="0" b="0"/>
            <wp:wrapTopAndBottom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-66040</wp:posOffset>
            </wp:positionH>
            <wp:positionV relativeFrom="paragraph">
              <wp:posOffset>635</wp:posOffset>
            </wp:positionV>
            <wp:extent cx="10106025" cy="6480175"/>
            <wp:effectExtent l="0" t="0" r="0" b="0"/>
            <wp:wrapTopAndBottom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drawing>
          <wp:anchor behindDoc="0" distT="0" distB="0" distL="0" distR="0" simplePos="0" locked="0" layoutInCell="1" allowOverlap="1" relativeHeight="6">
            <wp:simplePos x="0" y="0"/>
            <wp:positionH relativeFrom="margin">
              <wp:posOffset>-58420</wp:posOffset>
            </wp:positionH>
            <wp:positionV relativeFrom="paragraph">
              <wp:posOffset>635</wp:posOffset>
            </wp:positionV>
            <wp:extent cx="10089515" cy="6511925"/>
            <wp:effectExtent l="0" t="0" r="0" b="0"/>
            <wp:wrapTopAndBottom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>
      <w:pPr>
        <w:pStyle w:val="Normal"/>
        <w:spacing w:before="0" w:after="1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drawing>
          <wp:anchor behindDoc="0" distT="0" distB="0" distL="0" distR="0" simplePos="0" locked="0" layoutInCell="1" allowOverlap="1" relativeHeight="7">
            <wp:simplePos x="0" y="0"/>
            <wp:positionH relativeFrom="margin">
              <wp:posOffset>-57785</wp:posOffset>
            </wp:positionH>
            <wp:positionV relativeFrom="paragraph">
              <wp:posOffset>635</wp:posOffset>
            </wp:positionV>
            <wp:extent cx="10090150" cy="6488430"/>
            <wp:effectExtent l="0" t="0" r="0" b="0"/>
            <wp:wrapTopAndBottom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sectPr>
      <w:type w:val="nextPage"/>
      <w:pgSz w:orient="landscape" w:w="16838" w:h="11906"/>
      <w:pgMar w:left="567" w:right="567" w:gutter="0" w:header="0" w:top="1134" w:footer="0" w:bottom="567"/>
      <w:pgBorders w:display="allPages" w:offsetFrom="text"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Cambria Math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68" w:hanging="360"/>
      </w:pPr>
      <w:rPr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0ad8"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115782"/>
    <w:rPr>
      <w:color w:val="666666"/>
    </w:rPr>
  </w:style>
  <w:style w:type="character" w:styleId="HeaderChar" w:customStyle="1">
    <w:name w:val="Header Char"/>
    <w:basedOn w:val="DefaultParagraphFont"/>
    <w:uiPriority w:val="99"/>
    <w:qFormat/>
    <w:rsid w:val="00d97717"/>
    <w:rPr/>
  </w:style>
  <w:style w:type="character" w:styleId="FooterChar" w:customStyle="1">
    <w:name w:val="Footer Char"/>
    <w:basedOn w:val="DefaultParagraphFont"/>
    <w:uiPriority w:val="99"/>
    <w:qFormat/>
    <w:rsid w:val="00d97717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345309"/>
    <w:pPr>
      <w:spacing w:before="0" w:after="160"/>
      <w:ind w:start="720"/>
      <w:contextualSpacing/>
    </w:pPr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d97717"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d97717"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902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chart" Target="charts/chart5.xml"/><Relationship Id="rId7" Type="http://schemas.openxmlformats.org/officeDocument/2006/relationships/chart" Target="charts/chart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c:chart>
    <c:title>
      <c:tx>
        <c:rich>
          <a:bodyPr rot="0"/>
          <a:lstStyle/>
          <a:p>
            <a:pPr>
              <a:defRPr b="0" sz="1300" strike="noStrike" u="none">
                <a:uFillTx/>
                <a:latin typeface="Arial"/>
              </a:defRPr>
            </a:pPr>
            <a:r>
              <a:rPr b="0" lang="ru-RU" sz="1400" strike="noStrike" u="none">
                <a:solidFill>
                  <a:srgbClr val="595959"/>
                </a:solidFill>
                <a:uFillTx/>
                <a:latin typeface="Calibri"/>
              </a:rPr>
              <a:t>АЧХ</a:t>
            </a:r>
            <a:r>
              <a:rPr b="0" lang="ru-RU" sz="1400" strike="noStrike" u="none">
                <a:solidFill>
                  <a:srgbClr val="595959"/>
                </a:solidFill>
                <a:uFillTx/>
                <a:latin typeface="Calibri"/>
              </a:rPr>
              <a:t> усилителя без ОС</a:t>
            </a:r>
          </a:p>
        </c:rich>
      </c:tx>
      <c:layout>
        <c:manualLayout>
          <c:xMode val="edge"/>
          <c:yMode val="edge"/>
          <c:x val="0.41017505080395"/>
          <c:y val="0.00500639706291372"/>
        </c:manualLayout>
      </c:layout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069625"/>
          <c:y val="0.0465555555555556"/>
          <c:w val="0.8800625"/>
          <c:h val="0.910777777777778"/>
        </c:manualLayout>
      </c:layout>
      <c:scatterChart>
        <c:scatterStyle val="lineMarker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АЧХ</c:v>
                </c:pt>
              </c:strCache>
            </c:strRef>
          </c:tx>
          <c:spPr>
            <a:solidFill>
              <a:srgbClr val="4472c4"/>
            </a:solidFill>
            <a:ln cap="rnd" w="19080">
              <a:solidFill>
                <a:srgbClr val="4472c4"/>
              </a:solidFill>
              <a:round/>
            </a:ln>
          </c:spPr>
          <c:marker>
            <c:symbol val="circle"/>
            <c:size val="5"/>
            <c:spPr>
              <a:solidFill>
                <a:srgbClr val="4472c4"/>
              </a:solidFill>
            </c:spPr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9080">
                  <a:solidFill>
                    <a:srgbClr val="000000"/>
                  </a:solidFill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1</c:f>
              <c:numCache>
                <c:formatCode>General</c:formatCode>
                <c:ptCount val="37"/>
                <c:pt idx="0">
                  <c:v>35</c:v>
                </c:pt>
                <c:pt idx="1">
                  <c:v>40</c:v>
                </c:pt>
                <c:pt idx="2">
                  <c:v>45</c:v>
                </c:pt>
                <c:pt idx="3">
                  <c:v>48</c:v>
                </c:pt>
                <c:pt idx="4">
                  <c:v>50</c:v>
                </c:pt>
                <c:pt idx="5">
                  <c:v>50.15</c:v>
                </c:pt>
                <c:pt idx="6">
                  <c:v>52.14</c:v>
                </c:pt>
                <c:pt idx="7">
                  <c:v>54.13</c:v>
                </c:pt>
                <c:pt idx="8">
                  <c:v>55</c:v>
                </c:pt>
                <c:pt idx="9">
                  <c:v>58</c:v>
                </c:pt>
                <c:pt idx="10">
                  <c:v>60</c:v>
                </c:pt>
                <c:pt idx="11">
                  <c:v>65</c:v>
                </c:pt>
                <c:pt idx="12">
                  <c:v>70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37"/>
                <c:pt idx="0">
                  <c:v>3.93</c:v>
                </c:pt>
                <c:pt idx="1">
                  <c:v>5.49</c:v>
                </c:pt>
                <c:pt idx="2">
                  <c:v>9.03</c:v>
                </c:pt>
                <c:pt idx="3">
                  <c:v>14.9</c:v>
                </c:pt>
                <c:pt idx="4">
                  <c:v>23</c:v>
                </c:pt>
                <c:pt idx="5">
                  <c:v>24.1</c:v>
                </c:pt>
                <c:pt idx="6">
                  <c:v>34.1</c:v>
                </c:pt>
                <c:pt idx="7">
                  <c:v>24.1</c:v>
                </c:pt>
                <c:pt idx="8">
                  <c:v>20</c:v>
                </c:pt>
                <c:pt idx="9">
                  <c:v>11</c:v>
                </c:pt>
                <c:pt idx="10">
                  <c:v>8.42</c:v>
                </c:pt>
                <c:pt idx="11">
                  <c:v>5.2</c:v>
                </c:pt>
                <c:pt idx="12">
                  <c:v>3.78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label 2</c:f>
              <c:strCache>
                <c:ptCount val="1"/>
                <c:pt idx="0">
                  <c:v>f_гр.н</c:v>
                </c:pt>
              </c:strCache>
            </c:strRef>
          </c:tx>
          <c:spPr>
            <a:solidFill>
              <a:srgbClr val="ed7d31"/>
            </a:solidFill>
            <a:ln cap="rnd" w="15840">
              <a:solidFill>
                <a:srgbClr val="ed7d31"/>
              </a:solidFill>
              <a:prstDash val="dash"/>
              <a:round/>
            </a:ln>
          </c:spPr>
          <c:marker>
            <c:symbol val="none"/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5840">
                  <a:solidFill>
                    <a:srgbClr val="000000"/>
                  </a:solidFill>
                  <a:prstDash val="dash"/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3</c:f>
              <c:numCache>
                <c:formatCode>General</c:formatCode>
                <c:ptCount val="37"/>
                <c:pt idx="0">
                  <c:v>50.15</c:v>
                </c:pt>
                <c:pt idx="1">
                  <c:v>50.15</c:v>
                </c:pt>
              </c:numCache>
            </c:numRef>
          </c:xVal>
          <c:yVal>
            <c:numRef>
              <c:f>2</c:f>
              <c:numCache>
                <c:formatCode>General</c:formatCode>
                <c:ptCount val="37"/>
                <c:pt idx="0">
                  <c:v>0</c:v>
                </c:pt>
                <c:pt idx="1">
                  <c:v>40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label 4</c:f>
              <c:strCache>
                <c:ptCount val="1"/>
                <c:pt idx="0">
                  <c:v>f_гр.в</c:v>
                </c:pt>
              </c:strCache>
            </c:strRef>
          </c:tx>
          <c:spPr>
            <a:solidFill>
              <a:srgbClr val="a5a5a5"/>
            </a:solidFill>
            <a:ln cap="rnd" w="15840">
              <a:solidFill>
                <a:srgbClr val="a5a5a5"/>
              </a:solidFill>
              <a:prstDash val="dash"/>
              <a:round/>
            </a:ln>
          </c:spPr>
          <c:marker>
            <c:symbol val="circle"/>
            <c:size val="5"/>
            <c:spPr>
              <a:solidFill>
                <a:srgbClr val="a5a5a5"/>
              </a:solidFill>
            </c:spPr>
          </c:marker>
          <c:dPt>
            <c:idx val="0"/>
            <c:marker>
              <c:symbol val="circle"/>
              <c:size val="5"/>
              <c:spPr>
                <a:solidFill>
                  <a:srgbClr val="a5a5a5"/>
                </a:solidFill>
              </c:spPr>
            </c:marker>
          </c:dPt>
          <c:dPt>
            <c:idx val="1"/>
            <c:marker>
              <c:symbol val="circle"/>
              <c:size val="5"/>
              <c:spPr>
                <a:solidFill>
                  <a:srgbClr val="a5a5a5"/>
                </a:solidFill>
              </c:spPr>
            </c:marker>
          </c:dPt>
          <c:dLbls>
            <c:dLbl>
              <c:idx val="0"/>
              <c:txPr>
                <a:bodyPr wrap="square"/>
                <a:lstStyle/>
                <a:p>
                  <a:pPr>
                    <a:defRPr b="0" sz="1000" strike="noStrike" u="none">
                      <a:solidFill>
                        <a:srgbClr val="000000"/>
                      </a:solidFill>
                      <a:uFillTx/>
                      <a:latin typeface="Calibri"/>
                    </a:defRPr>
                  </a:pPr>
                </a:p>
              </c:txPr>
              <c:dLblPos val="r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1"/>
              <c:txPr>
                <a:bodyPr wrap="square"/>
                <a:lstStyle/>
                <a:p>
                  <a:pPr>
                    <a:defRPr b="0" sz="1000" strike="noStrike" u="none">
                      <a:solidFill>
                        <a:srgbClr val="000000"/>
                      </a:solidFill>
                      <a:uFillTx/>
                      <a:latin typeface="Calibri"/>
                    </a:defRPr>
                  </a:pPr>
                </a:p>
              </c:txPr>
              <c:dLblPos val="r"/>
              <c:showLegendKey val="0"/>
              <c:showVal val="0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5840">
                  <a:solidFill>
                    <a:srgbClr val="000000"/>
                  </a:solidFill>
                  <a:prstDash val="dash"/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5</c:f>
              <c:numCache>
                <c:formatCode>General</c:formatCode>
                <c:ptCount val="37"/>
                <c:pt idx="0">
                  <c:v>54.13</c:v>
                </c:pt>
                <c:pt idx="1">
                  <c:v>54.13</c:v>
                </c:pt>
              </c:numCache>
            </c:numRef>
          </c:xVal>
          <c:yVal>
            <c:numRef>
              <c:f>4</c:f>
              <c:numCache>
                <c:formatCode>General</c:formatCode>
                <c:ptCount val="37"/>
                <c:pt idx="0">
                  <c:v>0</c:v>
                </c:pt>
                <c:pt idx="1">
                  <c:v>40</c:v>
                </c:pt>
              </c:numCache>
            </c:numRef>
          </c:yVal>
          <c:smooth val="1"/>
        </c:ser>
        <c:axId val="1882703"/>
        <c:axId val="50536771"/>
      </c:scatterChart>
      <c:valAx>
        <c:axId val="1882703"/>
        <c:scaling>
          <c:orientation val="minMax"/>
          <c:max val="75"/>
          <c:min val="30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b="0" sz="1300" strike="noStrike" u="none">
                    <a:uFillTx/>
                    <a:latin typeface="Arial"/>
                  </a:defRPr>
                </a:pP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f,</a:t>
                </a: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 </a:t>
                </a:r>
                <a:r>
                  <a:rPr b="0" lang="ru-RU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кГц</a:t>
                </a:r>
              </a:p>
            </c:rich>
          </c:tx>
          <c:layout>
            <c:manualLayout>
              <c:xMode val="edge"/>
              <c:yMode val="edge"/>
              <c:x val="0.953224713893544"/>
              <c:y val="0.961840129053791"/>
            </c:manualLayout>
          </c:layout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50536771"/>
        <c:crosses val="autoZero"/>
        <c:crossBetween val="midCat"/>
        <c:majorUnit val="2"/>
      </c:valAx>
      <c:valAx>
        <c:axId val="50536771"/>
        <c:scaling>
          <c:orientation val="minMax"/>
          <c:max val="40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b="0" sz="1300" strike="noStrike" u="none">
                    <a:uFillTx/>
                    <a:latin typeface="Arial"/>
                  </a:defRPr>
                </a:pP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K(f)</a:t>
                </a:r>
              </a:p>
            </c:rich>
          </c:tx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1882703"/>
        <c:crosses val="autoZero"/>
        <c:crossBetween val="midCat"/>
        <c:majorUnit val="2.5"/>
      </c:valAx>
      <c:spPr>
        <a:noFill/>
        <a:ln w="0">
          <a:noFill/>
        </a:ln>
      </c:spPr>
    </c:plotArea>
    <c:legend>
      <c:legendPos val="r"/>
      <c:layout>
        <c:manualLayout>
          <c:xMode val="edge"/>
          <c:yMode val="edge"/>
          <c:x val="0.8046875"/>
          <c:y val="0.098"/>
          <c:w val="0.135570973185824"/>
          <c:h val="0.147127458606512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0" sz="900" strike="noStrike" u="none">
              <a:solidFill>
                <a:srgbClr val="595959"/>
              </a:solidFill>
              <a:uFillTx/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c:chart>
    <c:title>
      <c:tx>
        <c:rich>
          <a:bodyPr rot="0"/>
          <a:lstStyle/>
          <a:p>
            <a:pPr>
              <a:defRPr b="0" sz="1300" strike="noStrike" u="none">
                <a:uFillTx/>
                <a:latin typeface="Arial"/>
              </a:defRPr>
            </a:pPr>
            <a:r>
              <a:rPr b="0" lang="ru-RU" sz="1400" strike="noStrike" u="none">
                <a:solidFill>
                  <a:srgbClr val="595959"/>
                </a:solidFill>
                <a:uFillTx/>
                <a:latin typeface="Calibri"/>
              </a:rPr>
              <a:t>ПХ</a:t>
            </a:r>
            <a:r>
              <a:rPr b="0" lang="ru-RU" sz="1400" strike="noStrike" u="none">
                <a:solidFill>
                  <a:srgbClr val="595959"/>
                </a:solidFill>
                <a:uFillTx/>
                <a:latin typeface="Calibri"/>
              </a:rPr>
              <a:t> усилителя без ОС</a:t>
            </a:r>
          </a:p>
        </c:rich>
      </c:tx>
      <c:layout>
        <c:manualLayout>
          <c:xMode val="edge"/>
          <c:yMode val="edge"/>
          <c:x val="0.405730393206308"/>
          <c:y val="0.0213639642639143"/>
        </c:manualLayout>
      </c:layout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0464375"/>
          <c:y val="0.0887777777777778"/>
          <c:w val="0.9370625"/>
          <c:h val="0.815555555555556"/>
        </c:manualLayout>
      </c:layout>
      <c:scatterChart>
        <c:scatterStyle val="lineMarker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h_p(t)</c:v>
                </c:pt>
              </c:strCache>
            </c:strRef>
          </c:tx>
          <c:spPr>
            <a:solidFill>
              <a:srgbClr val="4472c4"/>
            </a:solidFill>
            <a:ln cap="rnd" w="19080">
              <a:solidFill>
                <a:srgbClr val="4472c4"/>
              </a:solidFill>
              <a:round/>
            </a:ln>
          </c:spPr>
          <c:marker>
            <c:symbol val="circle"/>
            <c:size val="5"/>
            <c:spPr>
              <a:solidFill>
                <a:srgbClr val="4472c4"/>
              </a:solidFill>
            </c:spPr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9080">
                  <a:solidFill>
                    <a:srgbClr val="000000"/>
                  </a:solidFill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1</c:f>
              <c:numCache>
                <c:formatCode>General</c:formatCode>
                <c:ptCount val="28"/>
                <c:pt idx="0">
                  <c:v>0</c:v>
                </c:pt>
                <c:pt idx="1">
                  <c:v>4.8</c:v>
                </c:pt>
                <c:pt idx="2">
                  <c:v>14.4</c:v>
                </c:pt>
                <c:pt idx="3">
                  <c:v>24</c:v>
                </c:pt>
                <c:pt idx="4">
                  <c:v>33.6</c:v>
                </c:pt>
                <c:pt idx="5">
                  <c:v>43.2</c:v>
                </c:pt>
                <c:pt idx="6">
                  <c:v>52.8</c:v>
                </c:pt>
                <c:pt idx="7">
                  <c:v>62.4</c:v>
                </c:pt>
                <c:pt idx="8">
                  <c:v>72</c:v>
                </c:pt>
                <c:pt idx="9">
                  <c:v>81.6</c:v>
                </c:pt>
                <c:pt idx="10">
                  <c:v>91.2</c:v>
                </c:pt>
                <c:pt idx="11">
                  <c:v>100.8</c:v>
                </c:pt>
                <c:pt idx="12">
                  <c:v>110.4</c:v>
                </c:pt>
                <c:pt idx="13">
                  <c:v>120</c:v>
                </c:pt>
                <c:pt idx="14">
                  <c:v>129.6</c:v>
                </c:pt>
                <c:pt idx="15">
                  <c:v>139.2</c:v>
                </c:pt>
                <c:pt idx="16">
                  <c:v>148.8</c:v>
                </c:pt>
                <c:pt idx="17">
                  <c:v>158.4</c:v>
                </c:pt>
                <c:pt idx="18">
                  <c:v>168</c:v>
                </c:pt>
                <c:pt idx="19">
                  <c:v>177.6</c:v>
                </c:pt>
                <c:pt idx="20">
                  <c:v>187.2</c:v>
                </c:pt>
                <c:pt idx="21">
                  <c:v>196.8</c:v>
                </c:pt>
                <c:pt idx="22">
                  <c:v>206.4</c:v>
                </c:pt>
                <c:pt idx="23">
                  <c:v>216</c:v>
                </c:pt>
                <c:pt idx="24">
                  <c:v>225.6</c:v>
                </c:pt>
                <c:pt idx="25">
                  <c:v>235.2</c:v>
                </c:pt>
                <c:pt idx="26">
                  <c:v>244.8</c:v>
                </c:pt>
                <c:pt idx="27">
                  <c:v>251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28"/>
                <c:pt idx="0">
                  <c:v>0</c:v>
                </c:pt>
                <c:pt idx="1">
                  <c:v>32.1</c:v>
                </c:pt>
                <c:pt idx="2">
                  <c:v>-28.5</c:v>
                </c:pt>
                <c:pt idx="3">
                  <c:v>25.3</c:v>
                </c:pt>
                <c:pt idx="4">
                  <c:v>-22.4</c:v>
                </c:pt>
                <c:pt idx="5">
                  <c:v>19.9</c:v>
                </c:pt>
                <c:pt idx="6">
                  <c:v>-17.7</c:v>
                </c:pt>
                <c:pt idx="7">
                  <c:v>15.7</c:v>
                </c:pt>
                <c:pt idx="8">
                  <c:v>-13.9</c:v>
                </c:pt>
                <c:pt idx="9">
                  <c:v>12.3</c:v>
                </c:pt>
                <c:pt idx="10">
                  <c:v>-10.9</c:v>
                </c:pt>
                <c:pt idx="11">
                  <c:v>9.72</c:v>
                </c:pt>
                <c:pt idx="12">
                  <c:v>-8.63</c:v>
                </c:pt>
                <c:pt idx="13">
                  <c:v>7.65</c:v>
                </c:pt>
                <c:pt idx="14">
                  <c:v>-6.79</c:v>
                </c:pt>
                <c:pt idx="15">
                  <c:v>6.03</c:v>
                </c:pt>
                <c:pt idx="16">
                  <c:v>-5.35</c:v>
                </c:pt>
                <c:pt idx="17">
                  <c:v>4.75</c:v>
                </c:pt>
                <c:pt idx="18">
                  <c:v>-4.2</c:v>
                </c:pt>
                <c:pt idx="19">
                  <c:v>3.72</c:v>
                </c:pt>
                <c:pt idx="20">
                  <c:v>-3.3</c:v>
                </c:pt>
                <c:pt idx="21">
                  <c:v>2.93</c:v>
                </c:pt>
                <c:pt idx="22">
                  <c:v>-2.6</c:v>
                </c:pt>
                <c:pt idx="23">
                  <c:v>2.29</c:v>
                </c:pt>
                <c:pt idx="24">
                  <c:v>-2.04</c:v>
                </c:pt>
                <c:pt idx="25">
                  <c:v>1.8</c:v>
                </c:pt>
                <c:pt idx="26">
                  <c:v>-1.6</c:v>
                </c:pt>
                <c:pt idx="27">
                  <c:v>0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label 2</c:f>
              <c:strCache>
                <c:ptCount val="1"/>
                <c:pt idx="0">
                  <c:v>τ_y</c:v>
                </c:pt>
              </c:strCache>
            </c:strRef>
          </c:tx>
          <c:spPr>
            <a:solidFill>
              <a:srgbClr val="ed7d31"/>
            </a:solidFill>
            <a:ln cap="rnd" w="15840">
              <a:solidFill>
                <a:srgbClr val="ed7d31"/>
              </a:solidFill>
              <a:prstDash val="dash"/>
              <a:round/>
            </a:ln>
          </c:spPr>
          <c:marker>
            <c:symbol val="none"/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5840">
                  <a:solidFill>
                    <a:srgbClr val="000000"/>
                  </a:solidFill>
                  <a:prstDash val="dash"/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3</c:f>
              <c:numCache>
                <c:formatCode>General</c:formatCode>
                <c:ptCount val="28"/>
                <c:pt idx="0">
                  <c:v>251</c:v>
                </c:pt>
                <c:pt idx="1">
                  <c:v>251</c:v>
                </c:pt>
              </c:numCache>
            </c:numRef>
          </c:xVal>
          <c:yVal>
            <c:numRef>
              <c:f>2</c:f>
              <c:numCache>
                <c:formatCode>General</c:formatCode>
                <c:ptCount val="28"/>
                <c:pt idx="0">
                  <c:v>-35</c:v>
                </c:pt>
                <c:pt idx="1">
                  <c:v>35</c:v>
                </c:pt>
              </c:numCache>
            </c:numRef>
          </c:yVal>
          <c:smooth val="1"/>
        </c:ser>
        <c:axId val="87214137"/>
        <c:axId val="94564635"/>
      </c:scatterChart>
      <c:valAx>
        <c:axId val="87214137"/>
        <c:scaling>
          <c:orientation val="minMax"/>
          <c:max val="280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b="0" sz="1300" strike="noStrike" u="none">
                    <a:uFillTx/>
                    <a:latin typeface="Arial"/>
                  </a:defRPr>
                </a:pP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t,</a:t>
                </a: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 </a:t>
                </a:r>
                <a:r>
                  <a:rPr b="0" lang="ru-RU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мкс</a:t>
                </a:r>
              </a:p>
            </c:rich>
          </c:tx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low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94564635"/>
        <c:crosses val="autoZero"/>
        <c:crossBetween val="midCat"/>
        <c:majorUnit val="10"/>
      </c:valAx>
      <c:valAx>
        <c:axId val="94564635"/>
        <c:scaling>
          <c:orientation val="minMax"/>
          <c:max val="35"/>
          <c:min val="-35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b="0" sz="1300" strike="noStrike" u="none">
                    <a:uFillTx/>
                    <a:latin typeface="Arial"/>
                  </a:defRPr>
                </a:pP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h_p(t)</a:t>
                </a:r>
              </a:p>
            </c:rich>
          </c:tx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87214137"/>
        <c:crosses val="autoZero"/>
        <c:crossBetween val="midCat"/>
        <c:majorUnit val="5"/>
      </c:valAx>
      <c:spPr>
        <a:noFill/>
        <a:ln w="0">
          <a:noFill/>
        </a:ln>
      </c:spPr>
    </c:plotArea>
    <c:legend>
      <c:legendPos val="r"/>
      <c:layout>
        <c:manualLayout>
          <c:xMode val="edge"/>
          <c:yMode val="edge"/>
          <c:x val="0.7473125"/>
          <c:y val="0.104777777777778"/>
          <c:w val="0.121882617663604"/>
          <c:h val="0.12445827314146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0" sz="900" strike="noStrike" u="none">
              <a:solidFill>
                <a:srgbClr val="595959"/>
              </a:solidFill>
              <a:uFillTx/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c:chart>
    <c:title>
      <c:tx>
        <c:rich>
          <a:bodyPr rot="0"/>
          <a:lstStyle/>
          <a:p>
            <a:pPr>
              <a:defRPr b="0" sz="1300" strike="noStrike" u="none">
                <a:uFillTx/>
                <a:latin typeface="Arial"/>
              </a:defRPr>
            </a:pPr>
            <a:r>
              <a:rPr b="0" lang="ru-RU" sz="1400" strike="noStrike" u="none">
                <a:solidFill>
                  <a:srgbClr val="595959"/>
                </a:solidFill>
                <a:uFillTx/>
                <a:latin typeface="Calibri"/>
              </a:rPr>
              <a:t>АЧХ</a:t>
            </a:r>
            <a:r>
              <a:rPr b="0" lang="ru-RU" sz="1400" strike="noStrike" u="none">
                <a:solidFill>
                  <a:srgbClr val="595959"/>
                </a:solidFill>
                <a:uFillTx/>
                <a:latin typeface="Calibri"/>
              </a:rPr>
              <a:t> усилителя с ПОС</a:t>
            </a:r>
          </a:p>
        </c:rich>
      </c:tx>
      <c:layout>
        <c:manualLayout>
          <c:xMode val="edge"/>
          <c:yMode val="edge"/>
          <c:x val="0.432458489555437"/>
          <c:y val="0.00016249593760156"/>
        </c:manualLayout>
      </c:layout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0650625"/>
          <c:y val="0.0358888888888889"/>
          <c:w val="0.876875"/>
          <c:h val="0.880888888888889"/>
        </c:manualLayout>
      </c:layout>
      <c:scatterChart>
        <c:scatterStyle val="lineMarker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АЧХ</c:v>
                </c:pt>
              </c:strCache>
            </c:strRef>
          </c:tx>
          <c:spPr>
            <a:solidFill>
              <a:srgbClr val="4472c4"/>
            </a:solidFill>
            <a:ln cap="rnd" w="19080">
              <a:solidFill>
                <a:srgbClr val="4472c4"/>
              </a:solidFill>
              <a:round/>
            </a:ln>
          </c:spPr>
          <c:marker>
            <c:symbol val="circle"/>
            <c:size val="5"/>
            <c:spPr>
              <a:solidFill>
                <a:srgbClr val="4472c4"/>
              </a:solidFill>
            </c:spPr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9080">
                  <a:solidFill>
                    <a:srgbClr val="000000"/>
                  </a:solidFill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1</c:f>
              <c:numCache>
                <c:formatCode>General</c:formatCode>
                <c:ptCount val="13"/>
                <c:pt idx="0">
                  <c:v>35</c:v>
                </c:pt>
                <c:pt idx="1">
                  <c:v>40</c:v>
                </c:pt>
                <c:pt idx="2">
                  <c:v>45</c:v>
                </c:pt>
                <c:pt idx="3">
                  <c:v>48</c:v>
                </c:pt>
                <c:pt idx="4">
                  <c:v>50</c:v>
                </c:pt>
                <c:pt idx="5">
                  <c:v>51.263</c:v>
                </c:pt>
                <c:pt idx="6">
                  <c:v>52.14</c:v>
                </c:pt>
                <c:pt idx="7">
                  <c:v>53.017</c:v>
                </c:pt>
                <c:pt idx="8">
                  <c:v>55</c:v>
                </c:pt>
                <c:pt idx="9">
                  <c:v>58</c:v>
                </c:pt>
                <c:pt idx="10">
                  <c:v>60</c:v>
                </c:pt>
                <c:pt idx="11">
                  <c:v>65</c:v>
                </c:pt>
                <c:pt idx="12">
                  <c:v>70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13"/>
                <c:pt idx="0">
                  <c:v>3.96</c:v>
                </c:pt>
                <c:pt idx="1">
                  <c:v>5.58</c:v>
                </c:pt>
                <c:pt idx="2">
                  <c:v>9.45</c:v>
                </c:pt>
                <c:pt idx="3">
                  <c:v>15.9</c:v>
                </c:pt>
                <c:pt idx="4">
                  <c:v>28.6</c:v>
                </c:pt>
                <c:pt idx="5">
                  <c:v>54.7</c:v>
                </c:pt>
                <c:pt idx="6">
                  <c:v>77.4</c:v>
                </c:pt>
                <c:pt idx="7">
                  <c:v>54.7</c:v>
                </c:pt>
                <c:pt idx="8">
                  <c:v>23</c:v>
                </c:pt>
                <c:pt idx="9">
                  <c:v>11.5</c:v>
                </c:pt>
                <c:pt idx="10">
                  <c:v>8.58</c:v>
                </c:pt>
                <c:pt idx="11">
                  <c:v>5.27</c:v>
                </c:pt>
                <c:pt idx="12">
                  <c:v>3.8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label 2</c:f>
              <c:strCache>
                <c:ptCount val="1"/>
                <c:pt idx="0">
                  <c:v>f_гр.н</c:v>
                </c:pt>
              </c:strCache>
            </c:strRef>
          </c:tx>
          <c:spPr>
            <a:solidFill>
              <a:srgbClr val="ed7d31"/>
            </a:solidFill>
            <a:ln cap="rnd" w="15840">
              <a:solidFill>
                <a:srgbClr val="ed7d31"/>
              </a:solidFill>
              <a:prstDash val="dash"/>
              <a:round/>
            </a:ln>
          </c:spPr>
          <c:marker>
            <c:symbol val="none"/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5840">
                  <a:solidFill>
                    <a:srgbClr val="000000"/>
                  </a:solidFill>
                  <a:prstDash val="dash"/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3</c:f>
              <c:numCache>
                <c:formatCode>General</c:formatCode>
                <c:ptCount val="13"/>
                <c:pt idx="0">
                  <c:v>51.26</c:v>
                </c:pt>
                <c:pt idx="1">
                  <c:v>51.26</c:v>
                </c:pt>
              </c:numCache>
            </c:numRef>
          </c:xVal>
          <c:yVal>
            <c:numRef>
              <c:f>2</c:f>
              <c:numCache>
                <c:formatCode>General</c:formatCode>
                <c:ptCount val="13"/>
                <c:pt idx="0">
                  <c:v>0</c:v>
                </c:pt>
                <c:pt idx="1">
                  <c:v>90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label 4</c:f>
              <c:strCache>
                <c:ptCount val="1"/>
                <c:pt idx="0">
                  <c:v>f_гр.в</c:v>
                </c:pt>
              </c:strCache>
            </c:strRef>
          </c:tx>
          <c:spPr>
            <a:solidFill>
              <a:srgbClr val="a5a5a5"/>
            </a:solidFill>
            <a:ln cap="rnd" w="15840">
              <a:solidFill>
                <a:srgbClr val="a5a5a5"/>
              </a:solidFill>
              <a:prstDash val="dash"/>
              <a:round/>
            </a:ln>
          </c:spPr>
          <c:marker>
            <c:symbol val="none"/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5840">
                  <a:solidFill>
                    <a:srgbClr val="000000"/>
                  </a:solidFill>
                  <a:prstDash val="dash"/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5</c:f>
              <c:numCache>
                <c:formatCode>General</c:formatCode>
                <c:ptCount val="13"/>
                <c:pt idx="0">
                  <c:v>53.017</c:v>
                </c:pt>
                <c:pt idx="1">
                  <c:v>53.017</c:v>
                </c:pt>
              </c:numCache>
            </c:numRef>
          </c:xVal>
          <c:yVal>
            <c:numRef>
              <c:f>4</c:f>
              <c:numCache>
                <c:formatCode>General</c:formatCode>
                <c:ptCount val="13"/>
                <c:pt idx="0">
                  <c:v>0</c:v>
                </c:pt>
                <c:pt idx="1">
                  <c:v>90</c:v>
                </c:pt>
              </c:numCache>
            </c:numRef>
          </c:yVal>
          <c:smooth val="1"/>
        </c:ser>
        <c:axId val="26725630"/>
        <c:axId val="83078588"/>
      </c:scatterChart>
      <c:valAx>
        <c:axId val="26725630"/>
        <c:scaling>
          <c:orientation val="minMax"/>
          <c:min val="30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b="0" sz="1300" strike="noStrike" u="none">
                    <a:uFillTx/>
                    <a:latin typeface="Arial"/>
                  </a:defRPr>
                </a:pP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f, </a:t>
                </a:r>
                <a:r>
                  <a:rPr b="0" lang="ru-RU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кГц</a:t>
                </a:r>
              </a:p>
            </c:rich>
          </c:tx>
          <c:layout>
            <c:manualLayout>
              <c:xMode val="edge"/>
              <c:yMode val="edge"/>
              <c:x val="0.956864845563292"/>
              <c:y val="0.936193261835121"/>
            </c:manualLayout>
          </c:layout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83078588"/>
        <c:crosses val="autoZero"/>
        <c:crossBetween val="midCat"/>
        <c:majorUnit val="2"/>
      </c:valAx>
      <c:valAx>
        <c:axId val="83078588"/>
        <c:scaling>
          <c:orientation val="minMax"/>
          <c:max val="90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b="0" sz="1300" strike="noStrike" u="none">
                    <a:uFillTx/>
                    <a:latin typeface="Arial"/>
                  </a:defRPr>
                </a:pP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K(f)</a:t>
                </a:r>
              </a:p>
            </c:rich>
          </c:tx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26725630"/>
        <c:crosses val="autoZero"/>
        <c:crossBetween val="midCat"/>
        <c:majorUnit val="5"/>
      </c:valAx>
      <c:spPr>
        <a:noFill/>
        <a:ln w="0">
          <a:noFill/>
        </a:ln>
      </c:spPr>
    </c:plotArea>
    <c:legend>
      <c:legendPos val="r"/>
      <c:layout>
        <c:manualLayout>
          <c:xMode val="edge"/>
          <c:yMode val="edge"/>
          <c:x val="0.81725"/>
          <c:y val="0.0716666666666667"/>
          <c:w val="0.0751296956059754"/>
          <c:h val="0.0966774086009557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0" sz="900" strike="noStrike" u="none">
              <a:solidFill>
                <a:srgbClr val="595959"/>
              </a:solidFill>
              <a:uFillTx/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c:chart>
    <c:title>
      <c:tx>
        <c:rich>
          <a:bodyPr rot="0"/>
          <a:lstStyle/>
          <a:p>
            <a:pPr>
              <a:defRPr b="0" sz="1300" strike="noStrike" u="none">
                <a:uFillTx/>
                <a:latin typeface="Arial"/>
              </a:defRPr>
            </a:pPr>
            <a:r>
              <a:rPr b="0" lang="ru-RU" sz="1400" strike="noStrike" u="none">
                <a:solidFill>
                  <a:srgbClr val="595959"/>
                </a:solidFill>
                <a:uFillTx/>
                <a:latin typeface="Calibri"/>
              </a:rPr>
              <a:t>ПХ</a:t>
            </a:r>
            <a:r>
              <a:rPr b="0" lang="ru-RU" sz="1400" strike="noStrike" u="none">
                <a:solidFill>
                  <a:srgbClr val="595959"/>
                </a:solidFill>
                <a:uFillTx/>
                <a:latin typeface="Calibri"/>
              </a:rPr>
              <a:t> усилителя с ПОС</a:t>
            </a:r>
          </a:p>
        </c:rich>
      </c:tx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06025"/>
          <c:y val="0.0726666666666667"/>
          <c:w val="0.89925"/>
          <c:h val="0.840333333333333"/>
        </c:manualLayout>
      </c:layout>
      <c:scatterChart>
        <c:scatterStyle val="lineMarker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h_p(t)</c:v>
                </c:pt>
              </c:strCache>
            </c:strRef>
          </c:tx>
          <c:spPr>
            <a:solidFill>
              <a:srgbClr val="4472c4"/>
            </a:solidFill>
            <a:ln cap="rnd" w="19080">
              <a:solidFill>
                <a:srgbClr val="4472c4"/>
              </a:solidFill>
              <a:round/>
            </a:ln>
          </c:spPr>
          <c:marker>
            <c:symbol val="circle"/>
            <c:size val="5"/>
            <c:spPr>
              <a:solidFill>
                <a:srgbClr val="4472c4"/>
              </a:solidFill>
            </c:spPr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9080">
                  <a:solidFill>
                    <a:srgbClr val="000000"/>
                  </a:solidFill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1</c:f>
              <c:numCache>
                <c:formatCode>General</c:formatCode>
                <c:ptCount val="62"/>
                <c:pt idx="0">
                  <c:v>0</c:v>
                </c:pt>
                <c:pt idx="1">
                  <c:v>4.8</c:v>
                </c:pt>
                <c:pt idx="2">
                  <c:v>14.4</c:v>
                </c:pt>
                <c:pt idx="3">
                  <c:v>24</c:v>
                </c:pt>
                <c:pt idx="4">
                  <c:v>33.6</c:v>
                </c:pt>
                <c:pt idx="5">
                  <c:v>43.2</c:v>
                </c:pt>
                <c:pt idx="6">
                  <c:v>52.8</c:v>
                </c:pt>
                <c:pt idx="7">
                  <c:v>62.4</c:v>
                </c:pt>
                <c:pt idx="8">
                  <c:v>72</c:v>
                </c:pt>
                <c:pt idx="9">
                  <c:v>81.6</c:v>
                </c:pt>
                <c:pt idx="10">
                  <c:v>91.2</c:v>
                </c:pt>
                <c:pt idx="11">
                  <c:v>100.8</c:v>
                </c:pt>
                <c:pt idx="12">
                  <c:v>110.4</c:v>
                </c:pt>
                <c:pt idx="13">
                  <c:v>120</c:v>
                </c:pt>
                <c:pt idx="14">
                  <c:v>129.6</c:v>
                </c:pt>
                <c:pt idx="15">
                  <c:v>139.2</c:v>
                </c:pt>
                <c:pt idx="16">
                  <c:v>148.8</c:v>
                </c:pt>
                <c:pt idx="17">
                  <c:v>158.4</c:v>
                </c:pt>
                <c:pt idx="18">
                  <c:v>168</c:v>
                </c:pt>
                <c:pt idx="19">
                  <c:v>177.6</c:v>
                </c:pt>
                <c:pt idx="20">
                  <c:v>187.2</c:v>
                </c:pt>
                <c:pt idx="21">
                  <c:v>196.8</c:v>
                </c:pt>
                <c:pt idx="22">
                  <c:v>206.4</c:v>
                </c:pt>
                <c:pt idx="23">
                  <c:v>216</c:v>
                </c:pt>
                <c:pt idx="24">
                  <c:v>225.6</c:v>
                </c:pt>
                <c:pt idx="25">
                  <c:v>235.2</c:v>
                </c:pt>
                <c:pt idx="26">
                  <c:v>244.8</c:v>
                </c:pt>
                <c:pt idx="27">
                  <c:v>254.4</c:v>
                </c:pt>
                <c:pt idx="28">
                  <c:v>264</c:v>
                </c:pt>
                <c:pt idx="29">
                  <c:v>273.6</c:v>
                </c:pt>
                <c:pt idx="30">
                  <c:v>283.2</c:v>
                </c:pt>
                <c:pt idx="31">
                  <c:v>292.8</c:v>
                </c:pt>
                <c:pt idx="32">
                  <c:v>302.4</c:v>
                </c:pt>
                <c:pt idx="33">
                  <c:v>312</c:v>
                </c:pt>
                <c:pt idx="34">
                  <c:v>321.6</c:v>
                </c:pt>
                <c:pt idx="35">
                  <c:v>331.2</c:v>
                </c:pt>
                <c:pt idx="36">
                  <c:v>340.8</c:v>
                </c:pt>
                <c:pt idx="37">
                  <c:v>350.4</c:v>
                </c:pt>
                <c:pt idx="38">
                  <c:v>360</c:v>
                </c:pt>
                <c:pt idx="39">
                  <c:v>369.6</c:v>
                </c:pt>
                <c:pt idx="40">
                  <c:v>379.2</c:v>
                </c:pt>
                <c:pt idx="41">
                  <c:v>388.8</c:v>
                </c:pt>
                <c:pt idx="42">
                  <c:v>398.4</c:v>
                </c:pt>
                <c:pt idx="43">
                  <c:v>408</c:v>
                </c:pt>
                <c:pt idx="44">
                  <c:v>417.6</c:v>
                </c:pt>
                <c:pt idx="45">
                  <c:v>427.2</c:v>
                </c:pt>
                <c:pt idx="46">
                  <c:v>436.8</c:v>
                </c:pt>
                <c:pt idx="47">
                  <c:v>446.4</c:v>
                </c:pt>
                <c:pt idx="48">
                  <c:v>456</c:v>
                </c:pt>
                <c:pt idx="49">
                  <c:v>465.6</c:v>
                </c:pt>
                <c:pt idx="50">
                  <c:v>475.2</c:v>
                </c:pt>
                <c:pt idx="51">
                  <c:v>484.8</c:v>
                </c:pt>
                <c:pt idx="52">
                  <c:v>494.4</c:v>
                </c:pt>
                <c:pt idx="53">
                  <c:v>504</c:v>
                </c:pt>
                <c:pt idx="54">
                  <c:v>513.6</c:v>
                </c:pt>
                <c:pt idx="55">
                  <c:v>523.2</c:v>
                </c:pt>
                <c:pt idx="56">
                  <c:v>532.8</c:v>
                </c:pt>
                <c:pt idx="57">
                  <c:v>542.4</c:v>
                </c:pt>
                <c:pt idx="58">
                  <c:v>552</c:v>
                </c:pt>
                <c:pt idx="59">
                  <c:v>561.6</c:v>
                </c:pt>
                <c:pt idx="60">
                  <c:v>569</c:v>
                </c:pt>
                <c:pt idx="61">
                  <c:v>571.2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62"/>
                <c:pt idx="0">
                  <c:v>0</c:v>
                </c:pt>
                <c:pt idx="1">
                  <c:v>75.4</c:v>
                </c:pt>
                <c:pt idx="2">
                  <c:v>-71.5</c:v>
                </c:pt>
                <c:pt idx="3">
                  <c:v>67.8</c:v>
                </c:pt>
                <c:pt idx="4">
                  <c:v>-64.3</c:v>
                </c:pt>
                <c:pt idx="5">
                  <c:v>61</c:v>
                </c:pt>
                <c:pt idx="6">
                  <c:v>-57.9</c:v>
                </c:pt>
                <c:pt idx="7">
                  <c:v>54.9</c:v>
                </c:pt>
                <c:pt idx="8">
                  <c:v>-52.1</c:v>
                </c:pt>
                <c:pt idx="9">
                  <c:v>49.4</c:v>
                </c:pt>
                <c:pt idx="10">
                  <c:v>-46.8</c:v>
                </c:pt>
                <c:pt idx="11">
                  <c:v>44.4</c:v>
                </c:pt>
                <c:pt idx="12">
                  <c:v>-42.1</c:v>
                </c:pt>
                <c:pt idx="13">
                  <c:v>39.9</c:v>
                </c:pt>
                <c:pt idx="14">
                  <c:v>-37.9</c:v>
                </c:pt>
                <c:pt idx="15">
                  <c:v>35.9</c:v>
                </c:pt>
                <c:pt idx="16">
                  <c:v>-34.1</c:v>
                </c:pt>
                <c:pt idx="17">
                  <c:v>32.3</c:v>
                </c:pt>
                <c:pt idx="18">
                  <c:v>-30.6</c:v>
                </c:pt>
                <c:pt idx="19">
                  <c:v>29</c:v>
                </c:pt>
                <c:pt idx="20">
                  <c:v>-27.6</c:v>
                </c:pt>
                <c:pt idx="21">
                  <c:v>26.2</c:v>
                </c:pt>
                <c:pt idx="22">
                  <c:v>-24.8</c:v>
                </c:pt>
                <c:pt idx="23">
                  <c:v>23.5</c:v>
                </c:pt>
                <c:pt idx="24">
                  <c:v>-22.3</c:v>
                </c:pt>
                <c:pt idx="25">
                  <c:v>21.1</c:v>
                </c:pt>
                <c:pt idx="26">
                  <c:v>-20</c:v>
                </c:pt>
                <c:pt idx="27">
                  <c:v>19</c:v>
                </c:pt>
                <c:pt idx="28">
                  <c:v>-18</c:v>
                </c:pt>
                <c:pt idx="29">
                  <c:v>17.1</c:v>
                </c:pt>
                <c:pt idx="30">
                  <c:v>-16.2</c:v>
                </c:pt>
                <c:pt idx="31">
                  <c:v>15.4</c:v>
                </c:pt>
                <c:pt idx="32">
                  <c:v>-14.6</c:v>
                </c:pt>
                <c:pt idx="33">
                  <c:v>13.9</c:v>
                </c:pt>
                <c:pt idx="34">
                  <c:v>-13.2</c:v>
                </c:pt>
                <c:pt idx="35">
                  <c:v>12.5</c:v>
                </c:pt>
                <c:pt idx="36">
                  <c:v>-11.8</c:v>
                </c:pt>
                <c:pt idx="37">
                  <c:v>11.2</c:v>
                </c:pt>
                <c:pt idx="38">
                  <c:v>-10.7</c:v>
                </c:pt>
                <c:pt idx="39">
                  <c:v>10.1</c:v>
                </c:pt>
                <c:pt idx="40">
                  <c:v>-9.61</c:v>
                </c:pt>
                <c:pt idx="41">
                  <c:v>9.13</c:v>
                </c:pt>
                <c:pt idx="42">
                  <c:v>-8.66</c:v>
                </c:pt>
                <c:pt idx="43">
                  <c:v>8.22</c:v>
                </c:pt>
                <c:pt idx="44">
                  <c:v>-7.8</c:v>
                </c:pt>
                <c:pt idx="45">
                  <c:v>7.41</c:v>
                </c:pt>
                <c:pt idx="46">
                  <c:v>-7.03</c:v>
                </c:pt>
                <c:pt idx="47">
                  <c:v>6.67</c:v>
                </c:pt>
                <c:pt idx="48">
                  <c:v>-6.33</c:v>
                </c:pt>
                <c:pt idx="49">
                  <c:v>6</c:v>
                </c:pt>
                <c:pt idx="50">
                  <c:v>-5.7</c:v>
                </c:pt>
                <c:pt idx="51">
                  <c:v>5.41</c:v>
                </c:pt>
                <c:pt idx="52">
                  <c:v>-5.13</c:v>
                </c:pt>
                <c:pt idx="53">
                  <c:v>4.87</c:v>
                </c:pt>
                <c:pt idx="54">
                  <c:v>-4.62</c:v>
                </c:pt>
                <c:pt idx="55">
                  <c:v>4.38</c:v>
                </c:pt>
                <c:pt idx="56">
                  <c:v>-4.16</c:v>
                </c:pt>
                <c:pt idx="57">
                  <c:v>3.94</c:v>
                </c:pt>
                <c:pt idx="58">
                  <c:v>-3.74</c:v>
                </c:pt>
                <c:pt idx="59">
                  <c:v>3.54</c:v>
                </c:pt>
                <c:pt idx="60">
                  <c:v>1.7</c:v>
                </c:pt>
                <c:pt idx="61">
                  <c:v>-3.36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label 2</c:f>
              <c:strCache>
                <c:ptCount val="1"/>
                <c:pt idx="0">
                  <c:v>τ</c:v>
                </c:pt>
              </c:strCache>
            </c:strRef>
          </c:tx>
          <c:spPr>
            <a:solidFill>
              <a:srgbClr val="ed7d31"/>
            </a:solidFill>
            <a:ln cap="rnd" w="19080">
              <a:solidFill>
                <a:srgbClr val="ed7d31"/>
              </a:solidFill>
              <a:round/>
            </a:ln>
          </c:spPr>
          <c:marker>
            <c:symbol val="circle"/>
            <c:size val="5"/>
            <c:spPr>
              <a:solidFill>
                <a:srgbClr val="ed7d31"/>
              </a:solidFill>
            </c:spPr>
          </c:marker>
          <c:dPt>
            <c:idx val="1"/>
            <c:marker>
              <c:symbol val="circle"/>
              <c:size val="5"/>
              <c:spPr>
                <a:solidFill>
                  <a:srgbClr val="ed7d31"/>
                </a:solidFill>
              </c:spPr>
            </c:marker>
          </c:dPt>
          <c:dLbls>
            <c:dLbl>
              <c:idx val="1"/>
              <c:txPr>
                <a:bodyPr wrap="square"/>
                <a:lstStyle/>
                <a:p>
                  <a:pPr>
                    <a:defRPr b="0" sz="1000" strike="noStrike" u="none">
                      <a:solidFill>
                        <a:srgbClr val="000000"/>
                      </a:solidFill>
                      <a:uFillTx/>
                      <a:latin typeface="Calibri"/>
                    </a:defRPr>
                  </a:pPr>
                </a:p>
              </c:txPr>
              <c:dLblPos val="r"/>
              <c:showLegendKey val="0"/>
              <c:showVal val="0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9080">
                  <a:solidFill>
                    <a:srgbClr val="000000"/>
                  </a:solidFill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3</c:f>
              <c:numCache>
                <c:formatCode>General</c:formatCode>
                <c:ptCount val="62"/>
                <c:pt idx="0">
                  <c:v>569</c:v>
                </c:pt>
                <c:pt idx="1">
                  <c:v>569</c:v>
                </c:pt>
              </c:numCache>
            </c:numRef>
          </c:xVal>
          <c:yVal>
            <c:numRef>
              <c:f>2</c:f>
              <c:numCache>
                <c:formatCode>General</c:formatCode>
                <c:ptCount val="62"/>
                <c:pt idx="0">
                  <c:v>-80</c:v>
                </c:pt>
                <c:pt idx="1">
                  <c:v>80</c:v>
                </c:pt>
              </c:numCache>
            </c:numRef>
          </c:yVal>
          <c:smooth val="1"/>
        </c:ser>
        <c:axId val="60026825"/>
        <c:axId val="39589109"/>
      </c:scatterChart>
      <c:valAx>
        <c:axId val="60026825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b="0" sz="1300" strike="noStrike" u="none">
                    <a:uFillTx/>
                    <a:latin typeface="Arial"/>
                  </a:defRPr>
                </a:pP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t, </a:t>
                </a:r>
                <a:r>
                  <a:rPr b="0" lang="ru-RU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мкс</a:t>
                </a:r>
              </a:p>
            </c:rich>
          </c:tx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low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39589109"/>
        <c:crosses val="autoZero"/>
        <c:crossBetween val="midCat"/>
        <c:majorUnit val="25"/>
      </c:valAx>
      <c:valAx>
        <c:axId val="39589109"/>
        <c:scaling>
          <c:orientation val="minMax"/>
          <c:max val="80"/>
          <c:min val="-80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b="0" sz="1300" strike="noStrike" u="none">
                    <a:uFillTx/>
                    <a:latin typeface="Arial"/>
                  </a:defRPr>
                </a:pP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h_p(t)</a:t>
                </a:r>
              </a:p>
            </c:rich>
          </c:tx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60026825"/>
        <c:crosses val="autoZero"/>
        <c:crossBetween val="midCat"/>
        <c:majorUnit val="10"/>
      </c:valAx>
      <c:spPr>
        <a:noFill/>
        <a:ln w="0">
          <a:noFill/>
        </a:ln>
      </c:spPr>
    </c:plotArea>
    <c:legend>
      <c:legendPos val="r"/>
      <c:layout>
        <c:manualLayout>
          <c:xMode val="edge"/>
          <c:yMode val="edge"/>
          <c:x val="0.802125"/>
          <c:y val="0.0867777777777778"/>
          <c:w val="0.0746296643540221"/>
          <c:h val="0.0837870874541616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0" sz="900" strike="noStrike" u="none">
              <a:solidFill>
                <a:srgbClr val="595959"/>
              </a:solidFill>
              <a:uFillTx/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c:chart>
    <c:title>
      <c:tx>
        <c:rich>
          <a:bodyPr rot="0"/>
          <a:lstStyle/>
          <a:p>
            <a:pPr>
              <a:defRPr b="0" sz="1300" strike="noStrike" u="none">
                <a:uFillTx/>
                <a:latin typeface="Arial"/>
              </a:defRPr>
            </a:pPr>
            <a:r>
              <a:rPr b="0" lang="ru-RU" sz="1400" strike="noStrike" u="none">
                <a:solidFill>
                  <a:srgbClr val="595959"/>
                </a:solidFill>
                <a:uFillTx/>
                <a:latin typeface="Calibri"/>
              </a:rPr>
              <a:t>АЧХ</a:t>
            </a:r>
            <a:r>
              <a:rPr b="0" lang="ru-RU" sz="1400" strike="noStrike" u="none">
                <a:solidFill>
                  <a:srgbClr val="595959"/>
                </a:solidFill>
                <a:uFillTx/>
                <a:latin typeface="Calibri"/>
              </a:rPr>
              <a:t> усилителя с ООС</a:t>
            </a:r>
          </a:p>
        </c:rich>
      </c:tx>
      <c:layout>
        <c:manualLayout>
          <c:xMode val="edge"/>
          <c:yMode val="edge"/>
          <c:x val="0.463569542567616"/>
          <c:y val="0.0157010172490049"/>
        </c:manualLayout>
      </c:layout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056875"/>
          <c:y val="0.0723333333333333"/>
          <c:w val="0.9150625"/>
          <c:h val="0.876555555555556"/>
        </c:manualLayout>
      </c:layout>
      <c:scatterChart>
        <c:scatterStyle val="lineMarker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K(f)K(f)</c:v>
                </c:pt>
              </c:strCache>
            </c:strRef>
          </c:tx>
          <c:spPr>
            <a:solidFill>
              <a:srgbClr val="4472c4"/>
            </a:solidFill>
            <a:ln cap="rnd" w="19080">
              <a:solidFill>
                <a:srgbClr val="4472c4"/>
              </a:solidFill>
              <a:round/>
            </a:ln>
          </c:spPr>
          <c:marker>
            <c:symbol val="circle"/>
            <c:size val="5"/>
            <c:spPr>
              <a:solidFill>
                <a:srgbClr val="4472c4"/>
              </a:solidFill>
            </c:spPr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9080">
                  <a:solidFill>
                    <a:srgbClr val="000000"/>
                  </a:solidFill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1</c:f>
              <c:numCache>
                <c:formatCode>General</c:formatCode>
                <c:ptCount val="12"/>
                <c:pt idx="0">
                  <c:v>35</c:v>
                </c:pt>
                <c:pt idx="1">
                  <c:v>40</c:v>
                </c:pt>
                <c:pt idx="2">
                  <c:v>45</c:v>
                </c:pt>
                <c:pt idx="3">
                  <c:v>48</c:v>
                </c:pt>
                <c:pt idx="4">
                  <c:v>49.04</c:v>
                </c:pt>
                <c:pt idx="5">
                  <c:v>50</c:v>
                </c:pt>
                <c:pt idx="6">
                  <c:v>52.14</c:v>
                </c:pt>
                <c:pt idx="7">
                  <c:v>55.25</c:v>
                </c:pt>
                <c:pt idx="8">
                  <c:v>58</c:v>
                </c:pt>
                <c:pt idx="9">
                  <c:v>60</c:v>
                </c:pt>
                <c:pt idx="10">
                  <c:v>65</c:v>
                </c:pt>
                <c:pt idx="11">
                  <c:v>70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12"/>
                <c:pt idx="0">
                  <c:v>3.91</c:v>
                </c:pt>
                <c:pt idx="1">
                  <c:v>5.41</c:v>
                </c:pt>
                <c:pt idx="2">
                  <c:v>8.56</c:v>
                </c:pt>
                <c:pt idx="3">
                  <c:v>13.1</c:v>
                </c:pt>
                <c:pt idx="4">
                  <c:v>15.5</c:v>
                </c:pt>
                <c:pt idx="5">
                  <c:v>18</c:v>
                </c:pt>
                <c:pt idx="6">
                  <c:v>21.9</c:v>
                </c:pt>
                <c:pt idx="7">
                  <c:v>15.5</c:v>
                </c:pt>
                <c:pt idx="8">
                  <c:v>10.2</c:v>
                </c:pt>
                <c:pt idx="9">
                  <c:v>7.94</c:v>
                </c:pt>
                <c:pt idx="10">
                  <c:v>5.07</c:v>
                </c:pt>
                <c:pt idx="11">
                  <c:v>3.74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label 2</c:f>
              <c:strCache>
                <c:ptCount val="1"/>
                <c:pt idx="0">
                  <c:v>f_гр.н</c:v>
                </c:pt>
              </c:strCache>
            </c:strRef>
          </c:tx>
          <c:spPr>
            <a:solidFill>
              <a:srgbClr val="ed7d31"/>
            </a:solidFill>
            <a:ln cap="rnd" w="15840">
              <a:solidFill>
                <a:srgbClr val="ed7d31"/>
              </a:solidFill>
              <a:prstDash val="dash"/>
              <a:round/>
            </a:ln>
          </c:spPr>
          <c:marker>
            <c:symbol val="none"/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5840">
                  <a:solidFill>
                    <a:srgbClr val="000000"/>
                  </a:solidFill>
                  <a:prstDash val="dash"/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3</c:f>
              <c:numCache>
                <c:formatCode>General</c:formatCode>
                <c:ptCount val="12"/>
                <c:pt idx="0">
                  <c:v>49.04</c:v>
                </c:pt>
                <c:pt idx="1">
                  <c:v>49.04</c:v>
                </c:pt>
              </c:numCache>
            </c:numRef>
          </c:xVal>
          <c:yVal>
            <c:numRef>
              <c:f>2</c:f>
              <c:numCache>
                <c:formatCode>General</c:formatCode>
                <c:ptCount val="12"/>
                <c:pt idx="0">
                  <c:v>0</c:v>
                </c:pt>
                <c:pt idx="1">
                  <c:v>25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label 4</c:f>
              <c:strCache>
                <c:ptCount val="1"/>
                <c:pt idx="0">
                  <c:v>f_гр.в</c:v>
                </c:pt>
              </c:strCache>
            </c:strRef>
          </c:tx>
          <c:spPr>
            <a:solidFill>
              <a:srgbClr val="a5a5a5"/>
            </a:solidFill>
            <a:ln cap="rnd" w="15840">
              <a:solidFill>
                <a:srgbClr val="a5a5a5"/>
              </a:solidFill>
              <a:prstDash val="dash"/>
              <a:round/>
            </a:ln>
          </c:spPr>
          <c:marker>
            <c:symbol val="none"/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5840">
                  <a:solidFill>
                    <a:srgbClr val="000000"/>
                  </a:solidFill>
                  <a:prstDash val="dash"/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5</c:f>
              <c:numCache>
                <c:formatCode>General</c:formatCode>
                <c:ptCount val="12"/>
                <c:pt idx="0">
                  <c:v>55.25</c:v>
                </c:pt>
                <c:pt idx="1">
                  <c:v>55.25</c:v>
                </c:pt>
              </c:numCache>
            </c:numRef>
          </c:xVal>
          <c:yVal>
            <c:numRef>
              <c:f>4</c:f>
              <c:numCache>
                <c:formatCode>General</c:formatCode>
                <c:ptCount val="12"/>
                <c:pt idx="0">
                  <c:v>0</c:v>
                </c:pt>
                <c:pt idx="1">
                  <c:v>25</c:v>
                </c:pt>
              </c:numCache>
            </c:numRef>
          </c:yVal>
          <c:smooth val="1"/>
        </c:ser>
        <c:axId val="40636901"/>
        <c:axId val="25398329"/>
      </c:scatterChart>
      <c:valAx>
        <c:axId val="40636901"/>
        <c:scaling>
          <c:orientation val="minMax"/>
          <c:min val="30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b="0" sz="1300" strike="noStrike" u="none">
                    <a:uFillTx/>
                    <a:latin typeface="Arial"/>
                  </a:defRPr>
                </a:pP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f, </a:t>
                </a:r>
                <a:r>
                  <a:rPr b="0" lang="ru-RU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кГц</a:t>
                </a:r>
              </a:p>
            </c:rich>
          </c:tx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25398329"/>
        <c:crosses val="autoZero"/>
        <c:crossBetween val="midCat"/>
        <c:majorUnit val="2"/>
      </c:valAx>
      <c:valAx>
        <c:axId val="25398329"/>
        <c:scaling>
          <c:orientation val="minMax"/>
          <c:max val="25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b="0" sz="1300" strike="noStrike" u="none">
                    <a:uFillTx/>
                    <a:latin typeface="Arial"/>
                  </a:defRPr>
                </a:pP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K(f)</a:t>
                </a:r>
              </a:p>
            </c:rich>
          </c:tx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40636901"/>
        <c:crosses val="autoZero"/>
        <c:crossBetween val="midCat"/>
        <c:majorUnit val="2"/>
      </c:valAx>
      <c:spPr>
        <a:noFill/>
        <a:ln w="0">
          <a:noFill/>
        </a:ln>
      </c:spPr>
    </c:plotArea>
    <c:legend>
      <c:legendPos val="r"/>
      <c:layout>
        <c:manualLayout>
          <c:xMode val="edge"/>
          <c:yMode val="edge"/>
          <c:x val="0.87875"/>
          <c:y val="0.105444444444444"/>
          <c:w val="0.0701293830864429"/>
          <c:h val="0.098677630847872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0" sz="900" strike="noStrike" u="none">
              <a:solidFill>
                <a:srgbClr val="595959"/>
              </a:solidFill>
              <a:uFillTx/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c:chart>
    <c:title>
      <c:tx>
        <c:rich>
          <a:bodyPr rot="0"/>
          <a:lstStyle/>
          <a:p>
            <a:pPr>
              <a:defRPr b="0" sz="1300" strike="noStrike" u="none">
                <a:uFillTx/>
                <a:latin typeface="Arial"/>
              </a:defRPr>
            </a:pPr>
            <a:r>
              <a:rPr b="0" lang="ru-RU" sz="1400" strike="noStrike" u="none">
                <a:solidFill>
                  <a:srgbClr val="595959"/>
                </a:solidFill>
                <a:uFillTx/>
                <a:latin typeface="Calibri"/>
              </a:rPr>
              <a:t>ПХ</a:t>
            </a:r>
            <a:r>
              <a:rPr b="0" lang="ru-RU" sz="1400" strike="noStrike" u="none">
                <a:solidFill>
                  <a:srgbClr val="595959"/>
                </a:solidFill>
                <a:uFillTx/>
                <a:latin typeface="Calibri"/>
              </a:rPr>
              <a:t> училителя с ООС</a:t>
            </a:r>
          </a:p>
        </c:rich>
      </c:tx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0689375"/>
          <c:y val="0.0725555555555556"/>
          <c:w val="0.8974375"/>
          <c:h val="0.867888888888889"/>
        </c:manualLayout>
      </c:layout>
      <c:scatterChart>
        <c:scatterStyle val="lineMarker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hp(t)hp​(t)</c:v>
                </c:pt>
              </c:strCache>
            </c:strRef>
          </c:tx>
          <c:spPr>
            <a:solidFill>
              <a:srgbClr val="4472c4"/>
            </a:solidFill>
            <a:ln cap="rnd" w="19080">
              <a:solidFill>
                <a:srgbClr val="4472c4"/>
              </a:solidFill>
              <a:round/>
            </a:ln>
          </c:spPr>
          <c:marker>
            <c:symbol val="circle"/>
            <c:size val="5"/>
            <c:spPr>
              <a:solidFill>
                <a:srgbClr val="4472c4"/>
              </a:solidFill>
            </c:spPr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9080">
                  <a:solidFill>
                    <a:srgbClr val="000000"/>
                  </a:solidFill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1</c:f>
              <c:numCache>
                <c:formatCode>General</c:formatCode>
                <c:ptCount val="20"/>
                <c:pt idx="0">
                  <c:v>0</c:v>
                </c:pt>
                <c:pt idx="1">
                  <c:v>4.8</c:v>
                </c:pt>
                <c:pt idx="2">
                  <c:v>14.4</c:v>
                </c:pt>
                <c:pt idx="3">
                  <c:v>24</c:v>
                </c:pt>
                <c:pt idx="4">
                  <c:v>33.6</c:v>
                </c:pt>
                <c:pt idx="5">
                  <c:v>43.2</c:v>
                </c:pt>
                <c:pt idx="6">
                  <c:v>52.8</c:v>
                </c:pt>
                <c:pt idx="7">
                  <c:v>62.4</c:v>
                </c:pt>
                <c:pt idx="8">
                  <c:v>72</c:v>
                </c:pt>
                <c:pt idx="9">
                  <c:v>81.6</c:v>
                </c:pt>
                <c:pt idx="10">
                  <c:v>91.2</c:v>
                </c:pt>
                <c:pt idx="11">
                  <c:v>100.8</c:v>
                </c:pt>
                <c:pt idx="12">
                  <c:v>110.4</c:v>
                </c:pt>
                <c:pt idx="13">
                  <c:v>120</c:v>
                </c:pt>
                <c:pt idx="14">
                  <c:v>129.6</c:v>
                </c:pt>
                <c:pt idx="15">
                  <c:v>139.2</c:v>
                </c:pt>
                <c:pt idx="16">
                  <c:v>148.8</c:v>
                </c:pt>
                <c:pt idx="17">
                  <c:v>158.4</c:v>
                </c:pt>
                <c:pt idx="18">
                  <c:v>161</c:v>
                </c:pt>
                <c:pt idx="19">
                  <c:v>168</c:v>
                </c:pt>
              </c:numCache>
            </c:numRef>
          </c:xVal>
          <c:yVal>
            <c:numRef>
              <c:f>0</c:f>
              <c:numCache>
                <c:formatCode>General</c:formatCode>
                <c:ptCount val="20"/>
                <c:pt idx="0">
                  <c:v>0</c:v>
                </c:pt>
                <c:pt idx="1">
                  <c:v>19.9</c:v>
                </c:pt>
                <c:pt idx="2">
                  <c:v>-16.5</c:v>
                </c:pt>
                <c:pt idx="3">
                  <c:v>13.7</c:v>
                </c:pt>
                <c:pt idx="4">
                  <c:v>-11.4</c:v>
                </c:pt>
                <c:pt idx="5">
                  <c:v>9.46</c:v>
                </c:pt>
                <c:pt idx="6">
                  <c:v>-7.86</c:v>
                </c:pt>
                <c:pt idx="7">
                  <c:v>6.53</c:v>
                </c:pt>
                <c:pt idx="8">
                  <c:v>-5.42</c:v>
                </c:pt>
                <c:pt idx="9">
                  <c:v>4.5</c:v>
                </c:pt>
                <c:pt idx="10">
                  <c:v>-3.73</c:v>
                </c:pt>
                <c:pt idx="11">
                  <c:v>3.09</c:v>
                </c:pt>
                <c:pt idx="12">
                  <c:v>-2.57</c:v>
                </c:pt>
                <c:pt idx="13">
                  <c:v>2.13</c:v>
                </c:pt>
                <c:pt idx="14">
                  <c:v>-1.77</c:v>
                </c:pt>
                <c:pt idx="15">
                  <c:v>1.47</c:v>
                </c:pt>
                <c:pt idx="16">
                  <c:v>-1.22</c:v>
                </c:pt>
                <c:pt idx="17">
                  <c:v>1.01</c:v>
                </c:pt>
                <c:pt idx="18">
                  <c:v>0.963</c:v>
                </c:pt>
                <c:pt idx="19">
                  <c:v>-0.841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label 2</c:f>
              <c:strCache>
                <c:ptCount val="1"/>
                <c:pt idx="0">
                  <c:v>τ_у</c:v>
                </c:pt>
              </c:strCache>
            </c:strRef>
          </c:tx>
          <c:spPr>
            <a:solidFill>
              <a:srgbClr val="ed7d31"/>
            </a:solidFill>
            <a:ln cap="rnd" w="15840">
              <a:solidFill>
                <a:srgbClr val="ed7d31"/>
              </a:solidFill>
              <a:prstDash val="dash"/>
              <a:round/>
            </a:ln>
          </c:spPr>
          <c:marker>
            <c:symbol val="none"/>
          </c:marker>
          <c:dLbls>
            <c:txPr>
              <a:bodyPr wrap="square"/>
              <a:lstStyle/>
              <a:p>
                <a:pPr>
                  <a:defRPr b="0" sz="1000" strike="noStrike" u="none">
                    <a:solidFill>
                      <a:srgbClr val="000000"/>
                    </a:solidFill>
                    <a:uFillTx/>
                    <a:latin typeface="Calibri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cap="rnd" w="15840">
                  <a:solidFill>
                    <a:srgbClr val="000000"/>
                  </a:solidFill>
                  <a:prstDash val="dash"/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3</c:f>
              <c:numCache>
                <c:formatCode>General</c:formatCode>
                <c:ptCount val="20"/>
                <c:pt idx="0">
                  <c:v>161</c:v>
                </c:pt>
                <c:pt idx="1">
                  <c:v>161</c:v>
                </c:pt>
              </c:numCache>
            </c:numRef>
          </c:xVal>
          <c:yVal>
            <c:numRef>
              <c:f>2</c:f>
              <c:numCache>
                <c:formatCode>General</c:formatCode>
                <c:ptCount val="20"/>
                <c:pt idx="0">
                  <c:v>-20</c:v>
                </c:pt>
                <c:pt idx="1">
                  <c:v>25</c:v>
                </c:pt>
              </c:numCache>
            </c:numRef>
          </c:yVal>
          <c:smooth val="1"/>
        </c:ser>
        <c:axId val="16748626"/>
        <c:axId val="44396491"/>
      </c:scatterChart>
      <c:valAx>
        <c:axId val="16748626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b="0" sz="1300" strike="noStrike" u="none">
                    <a:uFillTx/>
                    <a:latin typeface="Arial"/>
                  </a:defRPr>
                </a:pP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t, </a:t>
                </a:r>
                <a:r>
                  <a:rPr b="0" lang="ru-RU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мкс</a:t>
                </a:r>
              </a:p>
            </c:rich>
          </c:tx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low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44396491"/>
        <c:crosses val="autoZero"/>
        <c:crossBetween val="midCat"/>
        <c:majorUnit val="7.5"/>
      </c:valAx>
      <c:valAx>
        <c:axId val="44396491"/>
        <c:scaling>
          <c:orientation val="minMax"/>
          <c:max val="25"/>
          <c:min val="-20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b="0" sz="1300" strike="noStrike" u="none">
                    <a:uFillTx/>
                    <a:latin typeface="Arial"/>
                  </a:defRPr>
                </a:pPr>
                <a:r>
                  <a:rPr b="0" lang="en-US" sz="1000" strike="noStrike" u="none">
                    <a:solidFill>
                      <a:srgbClr val="595959"/>
                    </a:solidFill>
                    <a:uFillTx/>
                    <a:latin typeface="Calibri"/>
                  </a:rPr>
                  <a:t>h_p(t)</a:t>
                </a:r>
              </a:p>
            </c:rich>
          </c:tx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16748626"/>
        <c:crosses val="autoZero"/>
        <c:crossBetween val="midCat"/>
        <c:majorUnit val="2.5"/>
      </c:valAx>
      <c:spPr>
        <a:noFill/>
        <a:ln w="0">
          <a:noFill/>
        </a:ln>
      </c:spPr>
    </c:plotArea>
    <c:legend>
      <c:legendPos val="r"/>
      <c:layout>
        <c:manualLayout>
          <c:xMode val="edge"/>
          <c:yMode val="edge"/>
          <c:x val="0.750875"/>
          <c:y val="0.102888888888889"/>
          <c:w val="0.0828801800112507"/>
          <c:h val="0.0660073341482387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0" sz="900" strike="noStrike" u="none">
              <a:solidFill>
                <a:srgbClr val="595959"/>
              </a:solidFill>
              <a:uFillTx/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</c:chartSpace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517A-543B-4BB1-B063-D8E384C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Application>LibreOffice/25.8.3.2$Linux_X86_64 LibreOffice_project/580$Build-2</Application>
  <AppVersion>15.0000</AppVersion>
  <Pages>9</Pages>
  <Words>163</Words>
  <Characters>926</Characters>
  <CharactersWithSpaces>1136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2023-09-26T11:20:00Z</dcterms:created>
  <dc:creator>PC</dc:creator>
  <dc:description/>
  <dc:language>ru-RU</dc:language>
  <cp:lastModifiedBy/>
  <dcterms:modified xsi:type="dcterms:W3CDTF">2026-03-29T14:36:40Z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